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C-7728/2009 vom 5. Mai 2011</w:t>
      </w:r>
    </w:p>
    <w:p>
      <w:r>
        <w:t>Bundesverwaltungsgericht, 2011-05-05, FR</w:t>
      </w:r>
    </w:p>
    <w:p>
      <w:r>
        <w:rPr>
          <w:b/>
        </w:rPr>
        <w:t xml:space="preserve">Quelle: </w:t>
      </w:r>
      <w:r>
        <w:t>https://mcp.opencaselaw.ch/entscheid/bvger_C-7728_2009</w:t>
      </w:r>
    </w:p>
    <w:p>
      <w:r>
        <w:t>FR: TAF C-7728/2009 du 5 mai 2011</w:t>
      </w:r>
    </w:p>
    <w:p>
      <w:r>
        <w:t>IT: TAF C-7728/2009 del 5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seules applicables vu le dépôt de la demande de prestations en date du 2 février 2009. En l'espèce, le Tribunal peut se limiter à examiner si la recourante remplissait les conditions d'octroi d'une rente jusqu'au 6 novembre 2009, date de la décision attaquée marquant la limite dans le temps du pouvoir d'examen de l'autorité de recours (ATF 129 V 1 consid. 2.1 avec les réf.). Il sied de relever que la documentation médicale produite ultérieurement à la décision attaquée ne peut être prise en compte que dans la mesure où elle permet de mieux comprendre des atteintes à la santé antérieures à la décision dont est recours.</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trois ans et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recourante a travaillé en Suisse durant les années 1970-79 principalement comme employée de maison. En Espagne, elle n'a plus exercé d'activité lucrative afin de se consacrer à son fils handicapé.</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Dans le présent dossier le rapport médical E 213 de l'INSS du 3 juin 2009 signé du Dr D._______ et le rapport médical du Dr F._______ daté du 5 juillet 2010 sont déterminants. S'agissant de ce dernier rapport, il convient de préciser qu'il mentionne l'existence d'atteintes à la santé antérieures à la date de la décision attaquée et peut donc être pris en considération (voir ci-dessus consid. 3). Le rapport du Dr C._______ du 13 mai 2009 (et le complément produit sans identification du patient du 4 février 2010) énonçant des plaintes de l'assurée mais n'indiquant ni diagnostic ni limitations fonctionnelles n'est pas déterminant.</w:t>
      </w:r>
    </w:p>
    <w:p>
      <w:r>
        <w:rPr>
          <w:b/>
        </w:rPr>
        <w:t>E. 8.2</w:t>
      </w:r>
    </w:p>
    <w:p>
      <w:r>
        <w:t>Dans son rapport E 213 le Dr D._______ relate aux dires de l'assurée des douleurs lombaires irradiantes à l'aine droite et au membre inférieur gauche, des douleurs à la marche entraînant une claudication, note un suivi médical pour rhinite chronique, un bon état général (152cm/ 57kg), un trouble de l'adaptation anxio-réactif, indique à l'examen clinique une marche sans appui ni boiterie, pas de diminution de la mobilité des membres supérieurs, un Lasèque et un Bragard négatifs. Il retient le diagnostic de syndrome anxio-dépressif, rhinite persistante, dislipémie, cervicalgie avec contractures musculaires paravertébrales cervicales, status post hernie inguinale droite en août 2008, hernieplastie et relève un déficit fonctionnel pour les activités entraînant une surcharge mécanique de l'appareil locomoteur. Sur la base de ces constatations il note la possibilité d'exercer des travaux moyennement lourds sous réserve de lieux à température élevée et humides avec port et transport d'objets fréquents, permettant des changements de position, dont l'ancienne activité exercée et tout travail adapté à plein temps. Ce rapport médical est en adéquation avec celui du 19 janvier 2008 dont la signature est illisible et prend également en compte le myome utérin sans toutefois l'indiquer au niveau du diagnostic retenu. Le déficit fonctionnel est évoqué en relation avec les situations de surcharges mécaniques de l'appareil locomoteur qui prend en compte les atteintes au rachis. Il s'ensuit de ce qui précède qu'il n'y a pas d'importantes limitations fonctionnelles, ce qu'a également retenu le service médical de l'OAIE qui a indiqué que l'assurée ne présente pas de troubles neurologiques objectifs ni de limitations fonctionnelles significatives tant au niveau du rachis cervico-lombaire que des membres inférieurs et supérieurs. S'agissant des autres atteintes à la santé, celles-ci ne sont pas invalidantes. En particulier, le trouble anxio-dépressif, bien que sous médication, ne fait pas l'objet d'un suivi psychothérapeutique et ne peut dès lors être retenu comme invalidant dans le cadre de l'ensemble des plaintes et atteintes à la santé de l'assurée. Ce trouble n'est d'ailleurs qu'indiqué dans les rapports médicaux du 19 janvier 2008 et du 13 mai 2009 sans quelque développement ni mention d'un suivi spécialisé.</w:t>
      </w:r>
    </w:p>
    <w:p>
      <w:r>
        <w:rPr>
          <w:b/>
        </w:rPr>
        <w:t>E. 8.3</w:t>
      </w:r>
    </w:p>
    <w:p>
      <w:r>
        <w:t>Le rapport médical du Dr F._______ du 5 juillet 2010, communiqué au Tribunal de céans par réplique du 15 novembre suivant, fait état des atteintes à la santé de l'assurée et des interventions médicales y relatives puis indique en tant que diagnostic en premier lieu un status psychiatrique en traitement pour trouble anxio-dépressif sans toutefois indiquer le médecin traitant et le type de traitement psychiatrique ni joindre de rapport psychiatrique. En deuxième lieu ce rapport médical évoque une pathologie dégénérative du rachis en particulier au niveau lombaire et, nouvellement, des hanches nécessitant une médication antalgique et limitant les trajets de moyenne distance et l'utilisation d'escaliers. Ces atteintes à la santé, exceptée celle relative aux hanches qui est nouvelle, ont été prises en compte tant dans le rapport E 213 que par le service médical de l'OAIE. Les limitations décrites de façon très générale ne permettent pas de remettre en cause l'appréciation selon laquelle l'intéressée est en mesure d'exercer sans limitations déterminantes du point de vue de l'AI ses tâches domestiques ou des tâches analogues dans le cadre d'une activité d'employée de maison. Une incapacité de travail totale pour toute activité ne saurait dès lors être retenue. Comme le service médical de l'OAIE l'a indiqué, les atteintes à la santé de l'assurée peuvent motiver des interruptions temporaires de travail en phase aigüe mais ne sont pas invalidantes comme ne sont pas invalidantes les atteintes gynécologique, métabolique, ORL et ophtalmologique de l'intéressée.</w:t>
      </w:r>
    </w:p>
    <w:p>
      <w:r>
        <w:rPr>
          <w:b/>
        </w:rPr>
        <w:t>E. 8.4</w:t>
      </w:r>
    </w:p>
    <w:p>
      <w:r>
        <w:t>En l'espèce l'invalidité de l'intéressée a principalement été évaluée selon la méthode spécifique des personnes travaillant dans le cadre d'activités domestiques. Ce choix peut être confirmé du fait que l'assurée n'a pas repris de travail suite au décès de son fils intervenu en mai 2003. Par ailleurs, tant le médecin de la Sécurité sociale espagnole que le médecin de l'OAIE ont indiqué que l'intéressée pouvait exercer sans limitation son ancienne activité d'employée de maison. Il s'ensuit que sous l'angle d'une activité économique d'employée de maison, exercée en tout cas à plus de 60%, l'intéressée ne pourrait également pas faire valoir une incapacité de travail déterminante au sens de l'assurance-invalidité.</w:t>
      </w:r>
    </w:p>
    <w:p>
      <w:r>
        <w:rPr>
          <w:b/>
        </w:rPr>
        <w:t>E. 8.5</w:t>
      </w:r>
    </w:p>
    <w:p>
      <w:r>
        <w:t>Vu ce qui précède une incapacité de travail déterminante au sens de l'assurance-invalidité doit être niée sans que d'autres examens s'avèrent nécessaires, le rapport du Dr F._______ ne permettant pas de remettre en question le rapport E 213 du 3 juin 2009 par ailleurs documenté et complet sur le vu de la documentation médicale objective au dossier.</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10.2</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10.3</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