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C-7728/2006 vom 26. März 2007</w:t>
      </w:r>
    </w:p>
    <w:p>
      <w:r>
        <w:t>Bundesverwaltungsgericht, 2007-03-26, FR</w:t>
      </w:r>
    </w:p>
    <w:p>
      <w:r>
        <w:rPr>
          <w:b/>
        </w:rPr>
        <w:t xml:space="preserve">Quelle: </w:t>
      </w:r>
      <w:r>
        <w:t>https://mcp.opencaselaw.ch/entscheid/bvger_C-7728_2006</w:t>
      </w:r>
    </w:p>
    <w:p>
      <w:r>
        <w:t>FR: TAF C-7728/2006 du 26 mars 2007</w:t>
      </w:r>
    </w:p>
    <w:p>
      <w:r>
        <w:t>IT: TAF C-7728/2006 del 26 marzo 2007</w:t>
      </w:r>
    </w:p>
    <w:p>
      <w:pPr>
        <w:pStyle w:val="Heading2"/>
      </w:pPr>
      <w:r>
        <w:t>Regeste</w:t>
      </w:r>
    </w:p>
    <w:p>
      <w:r>
        <w:t>Maturité fédérale</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fédérale sur le Tribunal administratif fédéral du 17 juin 2005 [LTAF, RS 173.32]).</w:t>
      </w:r>
    </w:p>
    <w:p>
      <w:r>
        <w:rPr>
          <w:b/>
        </w:rPr>
        <w:t>E. 1.2</w:t>
      </w:r>
    </w:p>
    <w:p>
      <w:r>
        <w:t>En vertu de l'art. 31 LTAF, le Tribunal administratif fédéral connaît des recours contre les décisions au sens de l'art. 5 de la loi fédérale sur la procédure administrative du 20 décembre 1968 (PA, RS 172.021), prises par les autorités mentionnées à l'art. 33 et à l'art. 34 LTAF. Demeurent réservées les exceptions - non réalisées en l'espèce - prévues à l'art. 32 LTAF. La décision de la Commission du 3 octobre 2006 est une décision au sens de l'art. 5 PA, sujette à recours (art. 44 PA).</w:t>
      </w:r>
    </w:p>
    <w:p>
      <w:r>
        <w:rPr>
          <w:b/>
        </w:rPr>
        <w:t>E. 1.3</w:t>
      </w:r>
    </w:p>
    <w:p>
      <w:r>
        <w:t>La recourante a pris part à la procédure devant l'autorité intimée; elle est spécialement atteinte par la décision attaquée et a un intérêt digne de protection à son annulation ou à sa modification (art. 48 al. 1 PA). Elle est, partant, légitimée à recourir.</w:t>
      </w:r>
    </w:p>
    <w:p>
      <w:r>
        <w:rPr>
          <w:b/>
        </w:rPr>
        <w:t>E. 1.4</w:t>
      </w:r>
    </w:p>
    <w:p>
      <w:r>
        <w:t>Dans la mesure où le recours a été introduit dans le délai et dans la forme prescrits (art. 50 et art. 52 PA), il y a lieu d'entrer en matière sur le fond du recours.</w:t>
      </w:r>
    </w:p>
    <w:p>
      <w:r>
        <w:rPr>
          <w:b/>
        </w:rPr>
        <w:t>E. 2.1</w:t>
      </w:r>
    </w:p>
    <w:p>
      <w:r>
        <w:t>Selon l'art. 49 PA, le recourant peut invoquer la violation du droit fédéral, y compris l'excès ou l'abus du pouvoir d'appréciation (let. a), la constatation inexacte ou incomplète des faits pertinents (let. b), ou l'inopportunité, s'agissant d'un recours contre une autorité fédérale (let. c). L'autorité de recours observe toutefois une certaine retenue lorsqu'il s'agit de juger des résultats d'un examen. En particulier, elle ne s'écarte pas sans nécessité des avis des experts et des examinateurs sur des questions qui, de par leur nature, ne sont guère ou que difficilement contrôlables. En pareil cas, elle n'annulera la décision attaquée que si elle apparaît arbitraire, insoutenable ou manifestement injuste, soit que les experts et examinateurs ont émis des exigences excessives, soit que, sans émettre de telles exigences, ils ont manifestement sous-estimé le travail du candidat ou de la candidate (ATF 121 I 230, ATF 118 Ia 495, ATF 106 Ia 1, ATF 105 Ib 190, ATF 99 Ia 586; Jugement 2P.311/2004 du 31 août 2005; Jurisprudence des autorités administratives de la Confédération [JAAC] 59.76 consid. 2, JAAC 50.46 et JAAC 45.43).</w:t>
      </w:r>
    </w:p>
    <w:p>
      <w:r>
        <w:rPr>
          <w:b/>
        </w:rPr>
        <w:t>E. 2.2</w:t>
      </w:r>
    </w:p>
    <w:p>
      <w:r>
        <w:t>Cette retenue n'est cependant admissible qu'à l'égard de l'évaluation proprement dite des prestations fournies. Ainsi le grief, soulevé par la recourante, du traumatisme survenu le 18 septembre 2006, alors qu'elle devait se présenter à l'examen oral d'allemand, et la question de savoir si un certificat médical produit après coup peut être pris en compte doivent être examinés avec pleine cognition.</w:t>
      </w:r>
    </w:p>
    <w:p>
      <w:r>
        <w:rPr>
          <w:b/>
        </w:rPr>
        <w:t>E. 3.1</w:t>
      </w:r>
    </w:p>
    <w:p>
      <w:r>
        <w:t>Dans ce cadre, il convient de relever, dans un premier temps, que les informations fournies aux candidats et aux candidates sur le déroulement de l'examen suisse de maturité, et notamment sur le retrait des examens (chiffre 4 de l'Avis aux candidats de la session d'automne 2006 de l'examen suisse de maturité [ci-après: de l'Avis]), mentionnent précisément que "les certificats médicaux produits après coup ne peuvent pas annuler des examens présentés. Il faut en être conscient avant de débuter un examen" (chiffre 4.3 de l'Avis). Le SER souligne d'ailleurs à juste titre qu'un système d'examen ne saurait vivre si des certificats médicaux produits après coup pouvaient annuler une épreuve passée. Cette position est d'autant plus pertinente lorsque le ou la candidat(e) était à même de faire valoir, durant la session d'examen, un fait médical l'empêchant de se présenter à l'examen. Or, au vu des faits présentés par la recourante ainsi que du résultat obtenu lors de l'examen oral d'allemand, rien n'indique - malgré la note insuffisante - qu'en raison du traumatisme invoqué, son état était tel qu'elle n'était objectivement pas en mesure de se rendre compte qu'elle devait aviser les experts de sa situation et ne pas prendre part à cet examen. Ainsi, l'autorité de céans estime que la recourante aurait pu décider de se retirer des examens dans le respect des instructions mentionnées au chiffre 4.2 de l'Avis.</w:t>
      </w:r>
    </w:p>
    <w:p>
      <w:r>
        <w:rPr>
          <w:b/>
        </w:rPr>
        <w:t>E. 3.2</w:t>
      </w:r>
    </w:p>
    <w:p>
      <w:r>
        <w:t>Dans un second temps, l'art. 8 al. 1 de l'ordonnance déclare que le but de l'examen suisse de maturité est de permettre de juger si le candidat possède la maturité nécessaire aux études supérieures (JAAC 69.35 consid. 3.1). Cette maturité suppose (art. 8 al. 2 de l'ordonnance) "de solides connaissances fondamentales adaptées au niveau secondaire" (let. a), "la maîtrise d'une langue nationale et de bonnes connaissances dans d'autres langues nationales ou étrangères, l'aptitude à s'exprimer avec clarté, précision et sensibilité et à apprécier les richesses et les particularités des cultures véhiculées par ces langues" (let. b), "une ouverture d'esprit, un jugement indépendant, une intelligence développée, une sensibilité éthique et esthétique" (let. c), "une familiarisation avec la méthodologie scientifique, le raisonnement logique et l'abstraction, ainsi qu'avec une pensée intuitive, analogique et contextuelle" (let. d), "l'aptitude à se situer dans son environnement naturel, technique, social et culturel, dans ses dimensions suisses et internationales, actuelles et historiques" (let. e), et "la faculté de communiquer et une attitude critique et ouverte face à la communication et à l'information" (let. f). Au vu du but poursuivi par l'examen suisse de maturité, qui circonscrit l'aptitude aux études supérieures, c'est à juste titre que la Commission exige des candidats et des candidates qu'ils soient à même d'apprécier leur état de sorte à faire valoir un retrait des examens avant de s'y présenter. La Commission n'a donc pas violé le droit fédéral en refusant de tenir compte du certificat médical présenté par la recourante.</w:t>
      </w:r>
    </w:p>
    <w:p>
      <w:r>
        <w:rPr>
          <w:b/>
        </w:rPr>
        <w:t>E. 4</w:t>
      </w:r>
    </w:p>
    <w:p>
      <w:r>
        <w:t>Par ailleurs, selon l'art. 22 al. 1 de l'ordonnance, les critères de réussite de l'examen suisse de maturité sont l'obtention par le ou la candidat(e) d'un total de 115 points au moins (let. a) ou l'obtention d'un nombre de points s'élevant entre 92 et 114.5, pour autant qu'il ou elle n'ait pas de notes insuffisantes dans plus de trois disciplines et que la somme des écarts de points par rapport à 4 dans ces disciplines soit inférieure ou égale à 7 (let. b). Au contraire, en vertu de l'art. 22 al. 2 let. a de l'ordonnance, l'examen n'est pas réussi si le ou la candidat(e) ne satisfait pas aux conditions de l'al. 1 énumérées ci-avant. En l'espèce, la recourante ayant obtenu 92.5 points, mais ayant des notes insuffisantes dans quatre disciplines, l'examen ne peut être considéré comme réussi, aux termes de l'art. 22 al. 1 let. b et al. 2 let. a de l'ordonnance. En outre, ainsi que le précise à juste titre le SER, le travail de maturité ne fait pas partie des conditions de réussite ou d'échec prévues à l'art. 22 de l'ordonnance et il n'est pas possible d'en tenir compte pour compenser les exigences de cet article. Il en va de même des évaluations obtenues durant l'année scolaire, la réussite de l'examen suisse de maturité ne dépendant que des prestations produites lors de l'examen.</w:t>
      </w:r>
    </w:p>
    <w:p>
      <w:r>
        <w:rPr>
          <w:b/>
        </w:rPr>
        <w:t>E. 5</w:t>
      </w:r>
    </w:p>
    <w:p>
      <w:r>
        <w:t>La recourante invoque enfin l'art. 27 de l'ordonnance. Selon cette disposition, si des circonstances particulières l'exigent, la Commission peut, sur demande dûment motivée, accorder des dérogations (à l'art. 22 de l'ordonnance), pour autant que les objectifs définis à l'art. 8 de l'ordonnance soient respectés. A la lecture de cette disposition, il apparaît clairement qu'il n'y a pas lieu de s'en servir pour corriger, après coup, des notes insuffisantes, mais qu'il s'agit plutôt d'en faire usage, par exemple, lorsque la situation ou l'état du ou de la candidat(e) est connu et durable - comme dans le cas d'un handicap - et nécessite des mesures spéciales, afin de limiter les effets négatifs de cet état et le préjudice qui pourrait en résulter pour le ou la candidat(e) lors de l'examen. Dans ce contexte, c'est à juste titre que la Commission n'a pas considéré comme circonstance particulière le traumatisme survenu, qui, contrairement à ce que prévoient les instructions sur le retrait, n'a pas été invoqué avant que la recourante ne se présente à l'examen. Cela ne constitue pas une violation du droit fédéral.</w:t>
      </w:r>
    </w:p>
    <w:p>
      <w:r>
        <w:rPr>
          <w:b/>
        </w:rPr>
        <w:t>E. 6</w:t>
      </w:r>
    </w:p>
    <w:p>
      <w:r>
        <w:t>Les frais de procédure, fixés à Fr. 500, sont mis à la charge de la recourante (art. 63 al. 1 PA). Ils sont toutefois compensés par l'avance de frais dont s'est acquittée la recourante au cours de l'instruction. Le recours étant rejeté, il n'est pas alloué de dépens à la recourante (art. 64 al. 1 PA).</w:t>
      </w:r>
    </w:p>
    <w:p>
      <w:r>
        <w:rPr>
          <w:b/>
        </w:rPr>
        <w:t>E. 7</w:t>
      </w:r>
    </w:p>
    <w:p>
      <w:r>
        <w:t>Cette décision n'est pas sujette à recours (art. 83 let. t de la loi fédérale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