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C-7720/2009 vom 13. Juni 2012</w:t>
      </w:r>
    </w:p>
    <w:p>
      <w:r>
        <w:t>Bundesverwaltungsgericht, 2012-06-13, DE</w:t>
      </w:r>
    </w:p>
    <w:p>
      <w:r>
        <w:rPr>
          <w:b/>
        </w:rPr>
        <w:t xml:space="preserve">Quelle: </w:t>
      </w:r>
      <w:r>
        <w:t>https://mcp.opencaselaw.ch/entscheid/bvger_C-7720_2009</w:t>
      </w:r>
    </w:p>
    <w:p>
      <w:r>
        <w:t>FR: TAF C-7720/2009 du 13 juin 2012</w:t>
      </w:r>
    </w:p>
    <w:p>
      <w:r>
        <w:t>IT: TAF C-7720/2009 del 13 giugno 2012</w:t>
      </w:r>
    </w:p>
    <w:p>
      <w:pPr>
        <w:pStyle w:val="Heading2"/>
      </w:pPr>
      <w:r>
        <w:t>Regeste</w:t>
      </w:r>
    </w:p>
    <w:p>
      <w:r>
        <w:t>Krankenversicherung (Übriges)</w:t>
      </w:r>
    </w:p>
    <w:p>
      <w:pPr>
        <w:pStyle w:val="Heading2"/>
      </w:pPr>
      <w:r>
        <w:t>Erwägungen</w:t>
      </w:r>
    </w:p>
    <w:p>
      <w:r>
        <w:rPr>
          <w:b/>
        </w:rPr>
        <w:t>E. 1.1</w:t>
      </w:r>
    </w:p>
    <w:p>
      <w:r>
        <w:t>Gemäss Art. 53 Abs. 1 KVG in Verbindung mit Art. 90a Abs. 2 KVG beurteilt das Bundesverwaltungsgericht Beschwerden gegen Beschlüsse der Kantonsregierungen nach Art. 47 KVG. Im vorliegenden Fall bildet nicht die Festsetzung eines Tarifs Gegenstand der Beschwerde; gerügt wird das Nichteintreten auf ein Gesuch um Tariffestsetzung nach Art. 47 Abs. 1 KVG. Das Bundesverwaltungsgericht ist auch zur Beurteilung der Beschwerde gegen das Nichteintreten auf ein Gesuch zuständig, dessen Erledigung beim Bundesverwaltungsgericht angefochten werden kann, denn bei der Anfechtung eines Prozessentscheides richtet sich die sachliche Zuständigkeit nach dem Grundsatz der Einheit des Prozesses nach dem Recht, das für den eigentlichen Streitgegenstand bestimmend ist (vgl. Fritz Gygi, Bundesverwaltungsrechtspflege, 2. Aufl., Bern 1983, S. 87).</w:t>
      </w:r>
    </w:p>
    <w:p>
      <w:r>
        <w:rPr>
          <w:b/>
        </w:rPr>
        <w:t>E. 1.2</w:t>
      </w:r>
    </w:p>
    <w:p>
      <w:r>
        <w:t>Zur Beschwerde berechtigt ist nach Art. 48 Abs. 1 des Bundesge­setzes vom 20. Dezember 1968 über das Verwaltungsverfahren (VwVG, SR 172.021), wer vor der Vorinstanz am Verfahren teilgenommen hat oder keine Möglichkeit zur Teilnahme erhalten hat (lit. a); durch die angefochtene Verfügung besonders berührt ist (lit. b); und ein schutzwürdiges Interesse an deren Aufhebung oder Änderung hat (lit. c). Die Beschwerdeführerin hat am vorinstanzlichen Verfahren teilgenommen. Als Adressatin des angefochtenen Nichteintretensentscheids ist sie ohne Zweifel besonders berührt und hat ein schutzwürdiges Interesse an dessen Aufhebung oder Änderung. Sie ist daher zur Beschwerdeführung legitimiert.</w:t>
      </w:r>
    </w:p>
    <w:p>
      <w:r>
        <w:rPr>
          <w:b/>
        </w:rPr>
        <w:t>E. 1.3</w:t>
      </w:r>
    </w:p>
    <w:p>
      <w:r>
        <w:t>Da die Beschwerde im Übrigen frist- und formgerecht (Art. 50 und Art. 52 VwVG) eingereicht und der Kostenvorschuss innert Frist geleistet wurde, ist darauf einzutreten.</w:t>
      </w:r>
    </w:p>
    <w:p>
      <w:r>
        <w:rPr>
          <w:b/>
        </w:rPr>
        <w:t>E. 2</w:t>
      </w:r>
    </w:p>
    <w:p>
      <w:r>
        <w:t>Mit Verfügung vom 20. Januar 2010 hat der zuständige Instruktionsrichter die GDK und die FMH um Stellungnahme zur vorliegenden Beschwerdesache ersucht. Am 15. bzw. 18. Februar 2010 liessen sich die GDK und die FMH vernehmen. Diese Eingaben sind vorliegend als Auskünfte im Sinne von Art. 12 lit. c VwVG zu berücksichtigen.</w:t>
      </w:r>
    </w:p>
    <w:p>
      <w:r>
        <w:rPr>
          <w:b/>
        </w:rPr>
        <w:t>E. 3.1</w:t>
      </w:r>
    </w:p>
    <w:p>
      <w:r>
        <w:t>Das Verfahren vor dem Bundesverwaltungsgericht richtet sich ge­mäss Art. 37 des Verwaltungsgerichtsgesetzes vom 17. Juni 2005 (VGG, SR 173.32) und Art. 53 Abs. 2 Satz 1 KVG grundsätzlich nach dem VwVG, soweit das VGG oder das KVG keine abweichende Regelung enthält.</w:t>
      </w:r>
    </w:p>
    <w:p>
      <w:r>
        <w:rPr>
          <w:b/>
        </w:rPr>
        <w:t>E. 3.2</w:t>
      </w:r>
    </w:p>
    <w:p>
      <w:r>
        <w:t>Die Bestimmungen des Bundesgesetzes vom 6. Oktober 2000 über den Allgemeinen Teil des Sozialversicherungsrechts (ATSG, SR 830.1) sind auf die Krankenversicherung anwendbar, soweit das KVG nicht ausdrücklich eine Abweichung vom ATSG vorsieht (vgl. Art. 1 Abs. 1 KVG). Sie finden keine Anwendung im Bereich Tarife, Preise und Globalbudget (Art. 43-55 KVG; vgl. Art. 1 Abs. 2 lit. b KVG).</w:t>
      </w:r>
    </w:p>
    <w:p>
      <w:r>
        <w:rPr>
          <w:b/>
        </w:rPr>
        <w:t>E. 3.3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Bestimmungen des KVG in der durch Ziff. I des Bundesgesetzes über die Krankenversicherung vom 21. Dezember 2007 (Spitalfinanzierung; AS 2008 2049 2057; BBl 2004 5551; in Kraft seit 1. Januar 2009) geltenden Fassung.</w:t>
      </w:r>
    </w:p>
    <w:p>
      <w:r>
        <w:rPr>
          <w:b/>
        </w:rPr>
        <w:t>E. 3.4</w:t>
      </w:r>
    </w:p>
    <w:p>
      <w:r>
        <w:t>In materiellrechtlicher Hinsicht sind grundsätzlich diejenigen Rechts­sätze massgebend, die bei der Erfüllung des zu Rechtsfolgen führenden Sachverhalts Geltung haben (vgl. BGE 130 V 329 E. 2.3, BGE 134 V 315 E. 1.2).</w:t>
      </w:r>
    </w:p>
    <w:p>
      <w:r>
        <w:rPr>
          <w:b/>
        </w:rPr>
        <w:t>E. 4</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Liegt eine Verfügung im Streit, mit welcher die Vorinstanz auf ein Gesuch nicht eingetreten ist, so hat das Bundesverwaltungsgericht lediglich die Eintretensfrage zu prüfen (vgl. BGE 132 V 74 E. 1.1 mit Hinweis). Auf die gestellten materiellen Anträge der Beschwerdeführerin (sämtliche Anträge auf Tariffestsetzung für die ärztliche Leistung bei der Durchführung von HPV-Impfungen im Rahmen des Impfprogrammes des Kantons Bern ab 1. Juli 2009 sowie der Antrag auf Feststellung, wie diese Leistungen abgerechnet werden sollen [tiers garant oder tiers payant]) kann demnach nicht eingetreten werden.</w:t>
      </w:r>
    </w:p>
    <w:p>
      <w:r>
        <w:rPr>
          <w:b/>
        </w:rPr>
        <w:t>E. 5.1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53 Abs. 2 KVG i. V. m. Art. 49 VwVG).</w:t>
      </w:r>
    </w:p>
    <w:p>
      <w:r>
        <w:rPr>
          <w:b/>
        </w:rPr>
        <w:t>E. 5.2</w:t>
      </w:r>
    </w:p>
    <w:p>
      <w:r>
        <w:t>Nach Art. 62 Abs. 4 VwVG sind Gerichte gemäss dem Grundsatz der Rechtsanwendung von Amtes wegen nicht an die Begründung der Begehren der Parteien gebunden. Sie können eine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6</w:t>
      </w:r>
    </w:p>
    <w:p>
      <w:r>
        <w:t>Vorliegend streitig und zu prüfen ist die Frage, ob die Vorinstanz zu Recht auf das Tariffestsetzungsgesuch der Beschwerdeführerin vom 6. Mai 2009 nicht eingetreten ist. Die Vorinstanz begründet ihren Nichteintretensentscheid im Wesentlichen damit, dass durch die bundesrätliche Genehmigung eine gesamtschweizerisch geltende Pauschale und damit auch eine gesamtschweizerisch geltende ärztliche Entschädigung bestehe. Deshalb sei der Regierungsrat nicht zuständig zur Festlegung eines Tarifs für die ärztliche Leistung im Rahmen von HPV-Impfungen, welche im Kanton Bern nach Art. 12a lit. l KLV durchgeführt würden.</w:t>
      </w:r>
    </w:p>
    <w:p>
      <w:r>
        <w:rPr>
          <w:b/>
        </w:rPr>
        <w:t>E. 7.1</w:t>
      </w:r>
    </w:p>
    <w:p>
      <w:r>
        <w:t>Gemäss Art. 24 KVG übernimmt die obligatorische Krankenpflegeversicherung die Kosten für die Leistungen gemäss Art. 25-31 KVG nach Massgabe der in den Art. 32-34 KVG festgelegten Voraussetzungen. Nach Art. 26 KVG übernimmt die obligatorische Krankenpflegeversicherung die Kosten für bestimmte Untersuchungen zur frühzeitigen Erkennung von Krankheiten sowie für vorsorgliche Massnahmen zugunsten von Versicherten, die in erhöhtem Masse gefährdet sind. Die Untersuchungen oder vorsorglichen Massnahmen werden von einem Arzt oder einer Ärztin durchgeführt oder angeordnet (medizinische Prävention). Der Bundesrat hat die Leistungen nach Art. 26 KVG näher zu bezeichnen (vgl. Art. 33 Abs. 2 KVG). Gemäss Art. 33 Abs. 5 KVG kann er diese Aufgabe dem Departement oder dem Bundesamt übertragen. Der Bundesrat hat davon Gebrauch gemacht und diese Aufgabe an das EDI delegiert (Art. 33 lit. d der Verordnung vom 27. Juni 1995 über die Krankenversicherung [KVV, SR 832.102]). In Art. 12a KLV regelte das EDI, für welche prophylaktischen Impfungen und unter welchen Voraussetzungen die Versicherung die Kosten übernimmt. Gemäss lit. l dieses Artikels übernimmt die Versicherung die Kosten für die Impfung gegen HPV, wenn folgende Voraussetzungen erfüllt sind: 1. Gemäss den Empfehlungen des BAG und der EKIF vom Juni 2007 (BAG-Bulletin Nr. 25, 2007): a. Generelle Impfung der Mädchen im Schulalter; b. Impfung der Mädchen und Frauen im Alter von 15-19 Jahren. Diese Bestimmung gilt bis zum 31. Dezember 2012. 2. Impfung im Rahmen von kantonalen Impfprogrammen, die folgende Minimalanforderungen erfüllen: a. Die Information der Zielgruppen und deren Eltern/gesetzlichen Vertretung über die Verfügbarkeit der Impfung und die Empfehlungen des BAG und der EKIF ist sichergestellt; b. Der Einkauf des Impfstoffs erfolgt zentral; c. Die Vollständigkeit der Impfungen (Impfschema gemäss Empfehlungen des BAG und der EKIF) wird angestrebt; d. Die Leistungen und Pflichten der Programmträger, der impfenden Ärztinnen und Ärzte und der Krankenversicherer sind definiert; e. Datenerhebung, Abrechnung, Informations- und Finanzflüsse sind geregelt. 3. Auf dieser Leistung wird keine Franchise erhoben. Diese Bestimmung ist am 1. Januar 2008 in Kraft getreten. Bis zum 31. Dezember 2007 wurden die Kosten für Impfungen gegen HPV von den Versicherern nicht übernommen.</w:t>
      </w:r>
    </w:p>
    <w:p>
      <w:r>
        <w:rPr>
          <w:b/>
        </w:rPr>
        <w:t>E. 7.2</w:t>
      </w:r>
    </w:p>
    <w:p>
      <w:r>
        <w:t>Nach Art. 43 Abs. 4 KVG sind die entsprechenden Tarife und Preise in Verträgen zwischen Versicherern und Leistungserbringern (Tarifvertrag) zu vereinbaren oder werden in den vom Gesetz bestimmten Fällen von der zuständigen Behörde festgesetzt. Dabei ist auf eine betriebswirtschaftliche Bemessung und eine sachgerechte Struktur der Tarife zu achten. Die Vertragspartner und die zuständigen Behörden achten darauf, dass eine qualitativ hoch stehende und zweckmässige gesundheitliche Versorgung zu möglichst günstigen Kosten erreicht wird (Art. 43 Abs. 6 KVG). Parteien eines Tarifvertrags sind nach Art. 46 Abs. 1 KVG einzelne oder mehrere Leistungserbringer oder deren Verbände einerseits, sowie einzelne oder mehrere Versicherer oder deren Verbände andererseits. Ist ein Verband Vertragspartei, so ist der Tarifvertrag für die Mitglieder des Verbandes nur verbindlich, wenn sie dem Vertrag beitreten. Die Art und Weise der Beitritts- sowie der Rücktrittserklärungen und ihre Bekanntgabe wird gemäss Art. 46 Abs. 2 KVG im Vertrag geregelt. Nach Art. 46 Abs. 4 KVG bedarf der Tarifvertrag der Genehmigung der zuständigen Kantonsregierung oder, wenn er in der ganzen Schweiz gelten soll, des Bundesrats. Die Genehmigungsbehörde prüft, ob der Tarifvertrag mit dem Gesetz und dem Gebot der Wirtschaftlichkeit und Billigkeit in Einklang steht. Die Genehmigung des Tarifvertrags hat demnach konstitutive Wirkung (vgl. dazu auch nicht publizierter Entscheid des Bundesrats [BRE] vom 14. April 1999 betreffend Festsetzung des Tarifs für ambulante Behandlungen im Kanton Basel-Landschaft E. 1.33). Der Anwendungsfall der in Art. 43 Abs. 4 KVG vorgesehenen hoheitlichen Festsetzung eines Tarifs ist in Art. 47 Abs. 1 KVG geregelt. Demnach setzt die Kantonsregierung (nach Anhören der Beteiligten) dann einen Tarif fest, wenn zwischen Leistungserbringern und Versicherern kein Tarifvertrag zustande kommt. Die Bestimmung, wonach die Kantonsregierung bei der Genehmigung von Tarifverträgen zu prüfen hat, ob diese mit dem Gesetz und den Geboten der Wirtschaftlichkeit und Billigkeit im Einklang stehen (Art. 46 Abs. 4 KVG), gilt auch bei der Tariffestsetzung im vertragslosen Zustand nach Art. 47 KVG (vgl. BVGE 2010/24 E. 4.3 mit Hinweis).</w:t>
      </w:r>
    </w:p>
    <w:p>
      <w:r>
        <w:rPr>
          <w:b/>
        </w:rPr>
        <w:t>E. 7.3</w:t>
      </w:r>
    </w:p>
    <w:p>
      <w:r>
        <w:t>Die Leistungserbringer, welche zur Tätigkeit zu Lasten der obligatorischen Krankenpflegeversicherung zugelassen sind, sind in Art. 35 Abs. 2 KVG aufgeführt. Demnach sind Leistungserbringer Ärzte und Ärztinnen, Apotheker und Apothekerinnen, Chiropraktoren und Chiropraktorinnen, Hebammen, Personen, die auf Anordnung oder im Auftrag eines Arztes oder einer Ärztin Leistungen erbringen, und Organisationen, die solche Personen beschäftigen, Laboratorien, Abgabestellen für Mittel und Gegenstände, die der Untersuchung oder Behandlung dienen, Spitäler, Geburtshäuser, Pflegeheime, Heilbäder, Transport- und Rettungsunternehmen sowie Einrichtungen, die der ambulanten Krankenpflege durch Ärzte und Ärztinnen dienen.</w:t>
      </w:r>
    </w:p>
    <w:p>
      <w:r>
        <w:rPr>
          <w:b/>
        </w:rPr>
        <w:t>E. 8.1</w:t>
      </w:r>
    </w:p>
    <w:p>
      <w:r>
        <w:t>Eine Verfügung wird formell rechtskräftig, wenn sie endgültig ist. Das heisst, wenn die Frist für die Einlegung eines ordentlichen Rechtsmittels unbenutzt abgelaufen ist, wenn die Parteien rechtsgültig darauf verzichtet haben, ein solches einzulegen, oder wenn sie das Rechtsmittel zurückgezogen haben. Mit der formellen Rechtskraft wird der Entscheid vollstreckbar (Art. 39 VwVG; BVGE 2009/11 E. 2.1.2; Urteil des Bundesverwaltungsgerichts A 1625/2006 vom 15. Dezember 2008 E. 2.1, je mit Hinweisen).</w:t>
      </w:r>
    </w:p>
    <w:p>
      <w:r>
        <w:rPr>
          <w:b/>
        </w:rPr>
        <w:t>E. 8.2</w:t>
      </w:r>
    </w:p>
    <w:p>
      <w:r>
        <w:t>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d.h. die Frage der Widerrufbarkeit einer Verfügung; bei der formellen Rechtskraft hingegen geht es um die Anfechtbarkeit der Verfügung seitens der Betroffenen (vgl. Urteil des Bundesverwaltungsgerichts A 2302/2011 vom 15. Juni 2011 E. 4.1.2). Die Verwaltungsbehörden können Verfügungen, selbst wenn sie in formelle Rechtskraft erwachsen sind, unter bestimmten Voraussetzungen ändern. In diesem Sinne werden die Verfügungen in der Regel nicht materiell rechtskräftig (BVGE 2009/11 E. 2.1.2; Ulrich Häfelin/Georg Müller/Felix Uhlmann, Allgemeines Verwaltungsrecht, 6. Aufl., Zürich/St. Gallen 2010, Rz. 992 f.).</w:t>
      </w:r>
    </w:p>
    <w:p>
      <w:r>
        <w:rPr>
          <w:b/>
        </w:rPr>
        <w:t>E. 9.1</w:t>
      </w:r>
    </w:p>
    <w:p>
      <w:r>
        <w:t>In der Regel bewirkt die Fehlerhaftigkeit einer Verfügung nur deren Anfechtbarkeit. Die Anfechtbarkeit bedeutet, dass die fehlerhafte Verfügung an sich gültig ist, aber vom Betroffenen innerhalb der Frist des ordentlichen Rechtsmittels angefochten werden kann. Erfolgt dies nicht, so erwächst die Verfügung in formelle Rechtskraft (BGE 132 II 21 E. 3.1; Urteil des Bundesgerichts 2A.124/2007 vom 25. Oktober 2007 E. 3.1; Urteil des Bundesverwaltungsgerichts A 1625/2006 vom 15. Dezember 2008 E. 4.1). Nichtigkeit einer Verfügung wird dagegen nur angenommen, wenn der ihr anhaftende Mangel besonders schwer wiegt, wenn er offensichtlich oder zumindest leicht erkennbar ist und wenn zudem die Rechtssicherheit durch die Annahme der Nichtigkeit nicht ernsthaft gefährdet wird (sog. Evidenztheorie). Offenkundig ist der schwere Fehler der Verfügung, wenn er schon dem juristisch nicht geschulten Durchschnittsbürger auffällt (VPB 68.150 E. 3a mit Hinweisen). Als Nichtigkeitsgründe fallen namentlich schwerwiegende Zuständigkeitsfehler und schwerwiegende Verfahrens- und Formfehler in Betracht (BGE 132 II 21 E. 3.1; Urteile des Bundesgerichts 1C_280/2010 vom 16. September 2010 E. 3.1, 8C_1065/2009 vom 31. August 2010 E. 4.2.3, mit weiteren Hinweisen). So führt etwa die sachliche Unzuständigkeit praxisgemäss zur Nichtigkeit des betreffenden Entscheides, es sei denn, der verfügenden Behörde komme auf dem betreffenden Gebiet allgemeine Entscheidungsgewalt zu (BGE 129 V 485 E. 2.3, mit Hinweisen; Häfelin/Müller/Uhlmann, a.a.O., Rz. 961 ff.). Inhaltliche Mängel haben in der Regel nur die Anfechtbarkeit der Verfügung zur Folge. In seltenen Ausnahmefällen führt aber auch ein ausserordentlich schwer wiegender inhaltlicher Mangel zur Nichtigkeit (BGE 132 II 21 E. 3.1).</w:t>
      </w:r>
    </w:p>
    <w:p>
      <w:r>
        <w:rPr>
          <w:b/>
        </w:rPr>
        <w:t>E. 9.2</w:t>
      </w:r>
    </w:p>
    <w:p>
      <w:r>
        <w:t>Nichtigen Verfügungen geht jede Verbindlichkeit und Rechtswirksamkeit ab. Sie sind vom Erlass an und ohne amtliche Aufhebung rechtlich unverbindlich. Die Nichtigkeit eines Entscheids ist jederzeit von sämtlichen staatlichen Instanzen von Amtes wegen zu beachten; sie kann auch im Rechtsmittelweg festgestellt werden (BGE 132 II 342 E. 2.1, mit Hinweisen; Urteil des Bundesgerichts 1C_280/2010 vom 16. September 2010 E. 3.1; Urteil des Bundesverwaltungsgerichts A 6639/2010 vom 21. Juni 2011 E. 2.2; Häfelin/Müller/Uhlmann, a.a.O., Rz. 955).</w:t>
      </w:r>
    </w:p>
    <w:p>
      <w:r>
        <w:rPr>
          <w:b/>
        </w:rPr>
        <w:t>E. 10.1</w:t>
      </w:r>
    </w:p>
    <w:p>
      <w:r>
        <w:t>Im vorliegenden Fall hat der Bundesrat gestützt auf Art. 46 Abs. 4 KVG am 18. Juni 2008 den Tarifvertrag sowie dessen Anhang 1, am 11. September 2009 die am 25. April 2009 vereinbarte Änderung des Anhanges 1 sowie am 1. Oktober 2010 den neuen Tarifvertrag betreffend HPV-Impfung vom 28. April 2010 samt Anhang genehmigt.</w:t>
      </w:r>
    </w:p>
    <w:p>
      <w:r>
        <w:rPr>
          <w:b/>
        </w:rPr>
        <w:t>E. 10.2</w:t>
      </w:r>
    </w:p>
    <w:p>
      <w:r>
        <w:t>Gemäss Art. 46 Abs. 4 KVG bedarf ein Tarifvertrag der Genehmigung durch den Bundesrat, wenn er in der ganzen Schweiz gelten soll. Vorliegend wurde in Art. 2 der fraglichen Tarifverträge zwischen santésuisse und der GDK der örtliche und sachliche Geltungsbereich geregelt. Demnach gelten die fraglichen Tarifverträge für die gemäss Art. 12a lit. l KLV im Rahmen von kantonalen Programmen durchgeführten HPV-Impfungen von obligatorisch für Krankenpflege gemäss KVG versicherten Mädchen und jungen Frauen auf dem Gebiet der ganzen Schweiz. Durch den Umstand, dass diese Tarifverträge in der ganzen Schweiz gelten sollen, war der Bundesrat grundsätzlich Genehmigungsbehörde. Als Genehmigungsbehörde oblag ihm unter anderem die Prüfungspflicht, ob die Tarifverträge mit dem Gesetz in Einklang stehen (vgl. Art. 46 Abs. 4 Satz 2 KVG) und damit insbesondere auch, ob santésuisse und die GDK Parteien eines Tarifvertrages sein können.</w:t>
      </w:r>
    </w:p>
    <w:p>
      <w:r>
        <w:rPr>
          <w:b/>
        </w:rPr>
        <w:t>E. 10.3</w:t>
      </w:r>
    </w:p>
    <w:p>
      <w:r>
        <w:t>Die Beschwerdeführerin macht insbesondere geltend, der zwischen santésuisse und der GDK abgeschlossene Tarifvertrag sei nicht gültig, da die GDK bzw. die Kantone keine Leistungserbringer im Sinne des KVG seien. Demnach könne dieser Vertrag nicht Gegenstand einer rechtsgenüglichen Genehmigung nach Art. 46 Abs. 4 KVG durch den Bundesrat bilden. Daran vermöge auch der Umstand nichts zu ändern, dass der Bundesrat der GDK ausnahmsweise eine Parteistellung im Rahmen einer Tarifgenehmigung habe zukommen lassen. Für ein solches Vorgehen fehle es an einer gesetzlichen Grundlage. Damit rügt die Beschwerdeführerin inhaltliche Mängel des bundesrätlichen Genehmigungsbeschlusses. Wie zuvor erwähnt, haben inhaltliche Mängel in der Regel nur die Anfechtbarkeit der Verfügung zur Folge, denn die These, dass die inhaltliche Rechtswidrigkeit schlechthin die Nichtigkeit zur Folge habe, würde bedeuten, dass das Vollstreckungsorgan praktisch an die Stelle der entscheidenden Behörde treten würde. In Ausnahmefällen können jedoch auch ausserordentlich schwerwiegende inhaltliche Mängel zur Nichtigkeit der Verfügung führen. Als nichtig wäre namentlich eine Verfügung anzusehen, die einen unmöglichen Inhalt hat und bei der die Fehlerhaftigkeit an ihr selbst zum Ausdruck kommt (z.B. Aberkennung der Rechtsfähigkeit, provisorische Einbürgerung u.ä.). Ferner wäre Nichtigkeit bei tatsächlicher Unmöglichkeit des Vollzugs sowie bei einer unklaren oder unbestimmten Verfügung gegeben (Urteil des Bundesgerichts 5P.178/2003 vom 2. Juni 2003 E. 3.2 mit Hinweisen). Ungeachtet der von der Praxis und Lehre herausgearbeiteten Fallgruppen ist die Grenze zwischen Anfechtbarkeit und Nichtigkeit im Einzelfall aufgrund einer Interessenabwägung zwischen dem Interesse an der Rechtssicherheit und dem Interesse an der richtigen Rechtsanwendung zu ziehen (vgl. zum Ganzen Häfelin/Müller/Uhlmann, a.a.O., Rz. 955 ff.). Im vorliegenden Fall würde für die Nichtigkeit die Schwere des allfälligen Mangels sprechen. Gegen die Annahme der Nichtigkeit spräche hingegen, dass die für eine Bejahung der Nichtigkeit verlangte offensichtliche Fehlerhaftigkeit nicht vorhanden ist. Die Tatsache, dass der Tarifvertrag durch den Bundesrat als zuständige Genehmigungsbehörde (vgl. E. 10.2 hiervor) genehmigt wurde, hat Vertrauen in die Korrektheit des Tarifvertrags geschaffen, sodass einem Durchschnittsbürger die allfällige Mangelhaftigkeit des Tarifvertrags (bzw. der Genehmigungsbeschlüsse) kaum auffallen konnte. Ferner würde durch die Annahme der Nichtigkeit die Rechtssicherheit ernsthaft gefährdet, sind doch alle Kantone der Schweiz diesem Tarifvertrag beigetreten, weshalb davon ausgegangen werden kann, dass die Kantone sämtliche HPV-Impfungen, welche im Rahmen der kantonalen Impfprogramme durchgeführt wurden, seit 2008 mit den Versicherern entsprechend abgerechnet haben. Eine allfällige Feststellung der Nichtigkeit durch das Bundesverwaltungsgericht würde zu aufwändigen Rückabwicklungen in den Kantonen mit finanziellen Mehrbelastungen für die Versicherer führen. Zudem spricht gegen die Annahme der Nichtigkeit, dass die Impfpauschalen jeweils nur für eine befristete Dauer festgesetzt wurden (vgl. die entsprechenden Anhänge zu den Tarifverträgen). Hinzu kommt, dass hinter den von der KLV geforderten kantonalen Impfprogrammen ein gesundheitspolitischer Gedanke steckt, um die Wirtschaftlichkeit und Zweckmässigkeit der HPV-Impfung zu erreichen. Diese letzteren Argumente überwiegen in der Abwägung, sodass vorliegend trotz allfälligen Mängeln nicht von der Nichtigkeit der bundesrätlichen Genehmigungsbeschlüsse auszugehen wäre.</w:t>
      </w:r>
    </w:p>
    <w:p>
      <w:r>
        <w:rPr>
          <w:b/>
        </w:rPr>
        <w:t>E. 10.4</w:t>
      </w:r>
    </w:p>
    <w:p>
      <w:r>
        <w:t>Schliesslich kann die Frage, ob und gegebenenfalls bei welcher Beschwerdeinstanz die bundesrätlichen Genehmigungsbeschlüsse anfechtbar gewesen wären, an dieser Stelle offenbleiben, da die Beschwerdeführerin kein Rechtsmittel gegen diese Beschlüsse ergriffen hat. Immerhin gilt diesbezüglich darauf hinzuweisen, dass das Bundesgericht mit Urteil vom 20. Oktober 2008 feststellte, dass gegen einen Genehmigungsentscheid des Bundesrates betreffend Änderung der für medizinische Leistungen geltenden Tarifstruktur TARMED kein Rechtsmittel an das Bundesgericht offenstehe (BGE 134 V 443 E. 3; vgl. dazu aber auch Urteil des Bundesgericht 9C_413/2009 vom 27. Januar 2010 [publiziert in: SVR 2010 KV Nr. 8], worin das Bundesgericht eine bundesrätliche Nichtgenehmigung einer Vereinbarung zwischen santésuisse und der FMH betreffend zusätzliche Entschädigungen für Leistungen der Radiologen vorfrageweise überprüfte).</w:t>
      </w:r>
    </w:p>
    <w:p>
      <w:r>
        <w:rPr>
          <w:b/>
        </w:rPr>
        <w:t>E. 10.5</w:t>
      </w:r>
    </w:p>
    <w:p>
      <w:r>
        <w:t>Als Zwischenergebnis ist somit festzuhalten, dass im vorliegenden Beschwerdeverfahren auf die (allenfalls fehlerhaften, aber rechtsgültigen) bundesrätlichen Genehmigungsbeschlüsse abzustellen ist.</w:t>
      </w:r>
    </w:p>
    <w:p>
      <w:r>
        <w:rPr>
          <w:b/>
        </w:rPr>
        <w:t>E. 11.1</w:t>
      </w:r>
    </w:p>
    <w:p>
      <w:r>
        <w:t>Die Vorinstanz, santésuisse und das BAG bringen vor, dass der Tarifvertrag nicht die Entschädigung durch den Kanton für die Leistungen der Ärztinnen und Ärzte, sondern einzig den von den Versicherern an den Kanton pro Impfung zu bezahlenden Betrag regle.</w:t>
      </w:r>
    </w:p>
    <w:p>
      <w:r>
        <w:rPr>
          <w:b/>
        </w:rPr>
        <w:t>E. 11.2</w:t>
      </w:r>
    </w:p>
    <w:p>
      <w:r>
        <w:t>Gemäss Tarifvertrag wird die Impfung durch eine Pauschale, umfassend den Impfstoff sowie die Applikation inklusive Material, abgegolten. Die Höhe der Pauschale wird in Anhang 1 des Tarifvertrags definiert. Für die Impfung wird keine Franchise und kein Selbstbehalt erhoben. Der Selbstbehalt ist in der Pauschale integriert und gilt mit den Eigenleistungen der Kantone als abgegolten (Art. 4 des Tarifvertrags). Die Versicherer schulden dem Kanton die Vergütung (Pauschale) innert 30 Tagen nach Zustellung der individuellen Rechnung. Damit sind sämtliche Kosten, die zulasten der Krankenversicherer gehen, gedeckt, d.h. insbesondere die Kosten für den Impfstoff, die Leistung von Ärzten sowie medizinischen Hilfspersonen, das benötigte Material sowie ein Anteil an die notwendige Information, Beratung und Aufklärung der Patientinnen bzw. gesetzlichen Vertreter (Art. 8 des Tarifvertrags).</w:t>
      </w:r>
    </w:p>
    <w:p>
      <w:r>
        <w:rPr>
          <w:b/>
        </w:rPr>
        <w:t>E. 11.3</w:t>
      </w:r>
    </w:p>
    <w:p>
      <w:r>
        <w:t>Der Kanton Bern ist dem Tarifvertrag beigetreten. Der Tarifvertrag ist somit für den Kanton Bern verbindlich (vgl. Art. 3 Abs. 2 Tarifvertrag). Das Kantonsarztamt des Kantons Bern hat in den Richtlinien für die Durchführung der kostenlosen HPV-Impfung im Rahmen des HPV-Impfprogramms im Kanton Bern vom 22. August 2008 und vom 8. Oktober 2009 festgelegt, dass die Entschädigung der Ärztinnen und Ärzte pro durchgeführte Impfung für die Impfhandlung, inklusive benötigtes Material sowie Information, Beratung und Aufklärung der Impfwilligen bzw. deren Eltern oder gesetzliche Vertretung pauschal Fr. 15.- und für die ab dem 1. Juli 2009 bestellten Impfdosen Fr. 22.- betrage. Die Entschädigung entspreche der gerundeten Differenz zwischen der von santésuisse bezahlten Impfpauschale und dem vom Kanton bezahlten Impfstoffpreis.</w:t>
      </w:r>
    </w:p>
    <w:p>
      <w:r>
        <w:rPr>
          <w:b/>
        </w:rPr>
        <w:t>E. 11.4</w:t>
      </w:r>
    </w:p>
    <w:p>
      <w:r>
        <w:t>Wie zuvor erwähnt, übernimmt die obligatorische Krankenpflegeversicherung die Kosten für die Leistungen gemäss Art. 25 bis 31 KVG nach Massgabe der in Art. 32 bis 34 festgelegten Voraussetzungen (Art. 24 KVG). Die obligatorische Krankenpflegeversicherung wird durch die Versicherer betrieben (vgl. Art. 11 KVG). Die Leistungserbringer erstellen ihre Rechnungen nach Tarifen oder Preisen (Art. 43 Abs. 1 KVG). Der Tarif ist eine Grundlage für die Berechnung der Vergütung; er kann namentlich pauschale Vergütungen vorsehen (Pauschaltarif; Art. 43 Abs. 2 lit. c. KVG). Tarife und Preise werden in Verträgen zwischen Versicherern und Leistungserbringern vereinbart oder in den vom Gesetz bestimmten Fällen von der zuständigen Behörde festgesetzt (Art. 43 Abs. 4 KVG). Gemäss Art. 44 Abs. 1 KVG müssen sich die Leistungserbringer an die vertraglich oder behördlich festgelegten Tarife und Preise halten und dürfen für Leistungen nach dem KVG keine weitergehenden Vergütungen berechnen (Tarifschutz).</w:t>
      </w:r>
    </w:p>
    <w:p>
      <w:r>
        <w:rPr>
          <w:b/>
        </w:rPr>
        <w:t>E. 11.5</w:t>
      </w:r>
    </w:p>
    <w:p>
      <w:r>
        <w:t>Dementsprechend regelt auch der vorliegende Vertrag die Vergütung, welche die Versicherer an die Leistungserbringer für die erbrachte Leistung zu bezahlen haben. Vorliegend können sich die Versicherer auf den im Tarifvertrag zwischen santésuisse und der GDK vereinbarten Pauschaltarif für HPV-Impfungen, welche im Rahmen von kantonalen Impfprogrammen durchgeführt werden, berufen. Weitergehende Vergütungen der Versicherer für solche HPV-Impfungen sind somit ausgeschlossen.</w:t>
      </w:r>
    </w:p>
    <w:p>
      <w:r>
        <w:rPr>
          <w:b/>
        </w:rPr>
        <w:t>E. 11.6</w:t>
      </w:r>
    </w:p>
    <w:p>
      <w:r>
        <w:t>Entgegen der Auffassung der Vorinstanz, der santésuisse und des BAG wurde im Tarifvertrag auch die Entschädigung für die Leistung der Ärztinnen und Ärzte, die HPV-Impfungen im Rahmen von kantonalen Impfprogrammen durchführen, festgesetzt; die Ärztinnen und Ärzte haben gestützt auf den Tarifvertrag Anspruch auf die Differenz zwischen der vertraglich vereinbarten Pauschale und dem Impfstoffpreis als Entgelt pro durchgeführte Impfung. Aufgrund des Tarifschutzes nach Art. 44 Abs. 1 KVG wären weitergehende Vergütungen, wie beispielsweise eine zusätzliche Entschädigung des Kantons für die Leistungen der Ärztinnen und Ärzte, klar KVG-widrig.</w:t>
      </w:r>
    </w:p>
    <w:p>
      <w:r>
        <w:rPr>
          <w:b/>
        </w:rPr>
        <w:t>E. 12</w:t>
      </w:r>
    </w:p>
    <w:p>
      <w:r>
        <w:t>Zusammenfassend ist somit festzuhalten, dass für HPV-Impfungen, welche im Rahmen von kantonalen Impfprogrammen durchgeführt werden, ein gültiger Tarifvertrag besteht. Demnach ist die Vorinstanz zu Recht auf das Tariffestsetzungsgesuch der Beschwerdeführerin vom 6. Mai 2009 nicht eingetreten. Die Beschwerde erweist sich somit als unbegründet und ist daher abzuweisen.</w:t>
      </w:r>
    </w:p>
    <w:p>
      <w:r>
        <w:rPr>
          <w:b/>
        </w:rPr>
        <w:t>E. 13</w:t>
      </w:r>
    </w:p>
    <w:p>
      <w:r>
        <w:t>Vollständigkeitshalber gilt an dieser Stelle noch auf die Regelung des tiers garant gemäss Art. 42 Abs. 1 KVG hinzuweisen, wonach die Versicherten den Leistungserbringern die Vergütung der Leistung schulden. Das in Art. 42 Abs. 1 KVG verankerte System des tiers garant kann nur mit Zustimmung der Tarifparteien und insbesondere der Versicherer geändert werden. Demnach kann die Kantonsregierung als Tariffestsetzungsbehörde nicht einseitig von dieser Regel abweichen. Art. 42 Abs. 1 KVG verwehrt somit dem Regierungsrat und im Beschwerdeverfahren dem Bundesverwaltungsgericht klar den Spielraum, über den er bei der Festsetzung der Höhe des Tarifs, aber auch bei der Festlegung des Tarifierungssystems und der Regelung anderer Modalitäten im vertragslosen Zustand aufgrund von Art. 47 Abs. 1 KVG verfügt (Urteil des Bundesverwaltungsgerichts C-6571/2007 vom 21. Juni 2010 E. 5.2.1).</w:t>
      </w:r>
    </w:p>
    <w:p>
      <w:r>
        <w:rPr>
          <w:b/>
        </w:rPr>
        <w:t>E. 14</w:t>
      </w:r>
    </w:p>
    <w:p>
      <w:r>
        <w:t>Zu entscheiden ist noch über die Verfahrenskosten und eine allfällige Parteientschädigung.</w:t>
      </w:r>
    </w:p>
    <w:p>
      <w:r>
        <w:rPr>
          <w:b/>
        </w:rPr>
        <w:t>E. 14.1</w:t>
      </w:r>
    </w:p>
    <w:p>
      <w:r>
        <w:t>Bei diesem Ausgang des Verfahrens sind die Verfahrenskosten der unterliegenden Beschwerdeführerin aufzuerlegen (Art. 63 Abs. 1 VwVG). Sie werden auf Fr. 4'000.- festgesetzt und mit dem geleisteten Kostenvorschuss in gleicher Höhe verrechnet (vgl. dazu Urteil des Bundesverwaltungsgerichts C-4308/2007 vom 13. Januar 2010).</w:t>
      </w:r>
    </w:p>
    <w:p>
      <w:r>
        <w:rPr>
          <w:b/>
        </w:rPr>
        <w:t>E. 14.2.1</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Gemäss dem klaren Wortlaut in Art. 9 Abs. 2 VGKE ist jedoch keine Parteientschädigung geschuldet, wenn die Vertreterin oder der Vertreter in einem Arbeitsverhältnis zur Partei steht (vgl. diesbezüglich auch Urteil des Bundesgerichts 4C.269/2002 E. 4, wonach der "durch einen angestellten Anwalt ihrer Rechtsabteilung vertretenen Beklagten" keine Parteientschädigung zuzusprechen sei). Anders beurteilen sich ausnahmsweise Fälle, in denen ein Rechtsanwalt in eigener Sache prozessiert oder ein eigenes Interesse am Ausgang des Prozesses hat (BGE 129 II 297 E. 5, 129 V 113 E. 4.1, 128 V 236 E. 5, je mit weiteren Hinweisen) bzw. wenn ein Rechtsanwalt zugleich Organ einer juristischen Person ist und für diese handelt (Urteile des Bundesverwaltungsgerichts A-1420/2006 vom 10. April 2008 E. 6 und B-1211/2007 vom 21. November 2007 E. 8, je mit weiteren Hinweisen). Alle diese Ausnahmekonstellationen sind vorliegend nicht gegeben und wurden von der obsiegenden Beschwerdegegnerin weder geltend gemacht noch belegt. Vielmehr stand der handelnde Rechtsanwalt in einem Arbeitsverhältnis zur Beschwerdegegnerin. Damit ist der in der Sache obsiegenden Beschwerdegegnerin keine Parteientschädigung zuzusprechen (Urteil des Bundesverwaltungsgerichts A-1436/2006 vom 18. August 2008 E. 4.2).</w:t>
      </w:r>
    </w:p>
    <w:p>
      <w:r>
        <w:rPr>
          <w:b/>
        </w:rPr>
        <w:t>E. 14.2.2</w:t>
      </w:r>
    </w:p>
    <w:p>
      <w:r>
        <w:t>Die Vorinstanz hat keinen Anspruch auf Parteientschädigung (Art. 7 Abs. 3 VGKE).</w:t>
      </w:r>
    </w:p>
    <w:p>
      <w:r>
        <w:rPr>
          <w:b/>
        </w:rPr>
        <w:t>E. 15</w:t>
      </w:r>
    </w:p>
    <w:p>
      <w:r>
        <w:t>Die Beschwerde in öffentlich-rechtlichen Angelegenheiten an das Bundesgericht gegen Entscheide auf dem Gebiet der Krankenversicherung, die das Bundesverwaltungsgericht gestützt auf Art. 34 VGG (seit 1. Januar 2009: Art. 33 lit. i VGG i.V.m. Art. 53 Abs. 1 KVG) getroffen hat, ist gemäss Art. 83 lit.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