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C-771/2006 vom 4. April 2007</w:t>
      </w:r>
    </w:p>
    <w:p>
      <w:r>
        <w:t>Bundesverwaltungsgericht, 2007-04-04, DE</w:t>
      </w:r>
    </w:p>
    <w:p>
      <w:r>
        <w:rPr>
          <w:b/>
        </w:rPr>
        <w:t xml:space="preserve">Quelle: </w:t>
      </w:r>
      <w:r>
        <w:t>https://mcp.opencaselaw.ch/entscheid/bvger_C-771_2006</w:t>
      </w:r>
    </w:p>
    <w:p>
      <w:r>
        <w:t>FR: TAF C-771/2006 du 4 avril 2007</w:t>
      </w:r>
    </w:p>
    <w:p>
      <w:r>
        <w:t>IT: TAF C-771/2006 del 4 aprile 2007</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Art. 34 VGG genannten Behörden. Dazu gehören Verfügungen des Bundesamtes für Migration (BFM) betreffend Verweigerung der Einreise (Art. 20 Abs. 1 des Bundesgesetzes über Aufenthalt und Niederlassung der Ausländer vom 26. März 1931 [ANAG; SR 142.20] i.V.m. Art. 31 und Art. 33 Bst. d VGG). Eine Ausnahme gemäss Art. 32 VGG ist nicht gegeben. Das Bundesverwaltungsgericht entscheidet endgültig (Art. 1 Abs. 2 VGG i.V.m. Art. 83 Bst. c Ziff. 1 des Bundesgerichtsgesetzes vom 17. Juni 2005 [BGG, SR 173.110]). Das Verfahren vor dem Bundesverwaltungsgericht richtet sich nach dem VwVG, soweit das Gesetz nichts anderes bestimmt (Art. 37 VGG).</w:t>
      </w:r>
    </w:p>
    <w:p>
      <w:r>
        <w:rPr>
          <w:b/>
        </w:rPr>
        <w:t>E. 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Abs. 2 VGG).</w:t>
      </w:r>
    </w:p>
    <w:p>
      <w:r>
        <w:rPr>
          <w:b/>
        </w:rPr>
        <w:t>E. 3</w:t>
      </w:r>
    </w:p>
    <w:p>
      <w:r>
        <w:t>Die Beschwerdeführer sind als "Mitbeteiligte" (Gastgeber und Eltern) gemäss Art. 20 Abs. 2 ANAG zur Beschwerde legitimiert; auf die frist- und formgerecht eingereichte Beschwerde ist einzutreten (Art. 48 ff. VwVG).</w:t>
      </w:r>
    </w:p>
    <w:p>
      <w:r>
        <w:rPr>
          <w:b/>
        </w:rPr>
        <w:t>E. 4</w:t>
      </w:r>
    </w:p>
    <w:p>
      <w:r>
        <w:t>Ausländer/-innen sind zur Anwesenheit auf Schweizerboden berechtigt, wenn sie eine Aufenthalts- oder Niederlassungsbewilligung besitzen oder keiner solchen bedürfen (vgl. Art. 1a ANAG). Die Behörde entscheidet, im Rahmen der gesetzlichen Vorschriften und der Verträge mit dem Ausland, nach freiem Ermessen über die Bewilligung von Aufenthalt und Niederlassung (vgl. Art. 4 ANAG). Damit räumt das schweizerische Recht weder einen Anspruch auf Einreise noch auf Erteilung eines Visums ein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Einreisegesuchen zur Anwesenheit von bis zu drei Monaten, die bewilligungsfrei - mitunter aber visumspflichtig - sind (vgl. Art. 2 Abs. 1 ANAG i.V.m. den nachstehenden Bestimmungen).</w:t>
      </w:r>
    </w:p>
    <w:p>
      <w:r>
        <w:rPr>
          <w:b/>
        </w:rPr>
        <w:t>E. 5</w:t>
      </w:r>
    </w:p>
    <w:p>
      <w:r>
        <w:t>Ausländerinnen und Ausländer benötigen für die Einreise in die Schweiz grundsätzlich ein Visum (vgl. Art 1 sowie Art. 3 der Verordnung vom 14. Januar 1998 über Einreise und Anmeldung von Ausländerinnen und Ausländern [VEA, SR 142.211]). Das Visum wird verweigert, wenn die Ausländerin oder der Ausländer die Einreisevoraussetzungen nach Artikel 1 VEA nicht erfüllt (vgl. Art. 14 Abs. 1 VEA). So müssen Personen, die in die Schweiz reisen möchten, unter anderem Gewähr bieten, dass sie fristgerecht wiederausreisen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6</w:t>
      </w:r>
    </w:p>
    <w:p>
      <w:r>
        <w:t>Der Gesuchsteller kann sich auf keine Ausnahmeregelung berufen und unterliegt aufgrund seiner Nationalität den Visumsbestimmungen (vgl. Art. 1 - 5 VEA).</w:t>
      </w:r>
    </w:p>
    <w:p>
      <w:r>
        <w:rPr>
          <w:b/>
        </w:rPr>
        <w:t>E. 7</w:t>
      </w:r>
    </w:p>
    <w:p>
      <w:r>
        <w:t>Anhaltspunkte zur Beurteilung der fristgerechten Wiederausreise können sich aus der allgemeinen Lage im Herkunftsland der Besucherin oder des Besuchers ergeben.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7.1</w:t>
      </w:r>
    </w:p>
    <w:p>
      <w:r>
        <w:t>Trotz grosser internationaler Unterstützung ist es bisher nicht gelungen, im Kosovo eine Wachstumsdynamik einzuleiten; es herrscht wirtschaftliche Stagnation. Die Arbeitslosigkeit bleibt hartnäckig hoch, sind doch mehr als die Hälfte der Erwerbsfähigen ohne oder zumindest ohne regelmässiges Einkommen. Die soziale Lage ist für weite Teile der Bevölkerung unbefriedigend. Entsprechend hoch ist der Anteil jener, die versuchen nach Westeuropa und hier unter anderem auch in die Schweiz zu gelangen, um sich unter günstigeren Lebensbedingungen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7.2</w:t>
      </w:r>
    </w:p>
    <w:p>
      <w:r>
        <w:t>Bei der Risikoanalyse sind aber nicht nur solch allgemeine Umstände und Erfahrungen, sondern auch, wie unter Ziffer 5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7.3</w:t>
      </w:r>
    </w:p>
    <w:p>
      <w:r>
        <w:t>Beim Eingeladenen handelt es sich um einen 25-jährigen, ledigen Mann, der arbeitslos ist (vgl. Ziff. 9 des persönlichen Einreisegesuchs). Vor diesem Hintergrund darf bezweifelt werden, dass dem Eingeladenen im Heimatland besondere berufliche oder familiäre Verpflichtungen obliegen, die ihn ernsthaft von einer Emigration abzuhalten vermöchten, zumal bereits seine Eltern, und damit enge Beziehungspersonen definitiv in die Schweiz übersiedelt sind. Solchen Umständen gilt es bei der Beurteilung des vorliegenden Einreisegesuches durchaus Rechnung zu tragen, ist doch das Risiko, dass weitere Angehörige aus dem engeren Familienkreis (wie beispielsweise der Eingeladene), die im Heimatland möglicherweise mit den gleichen oder zumindest ähnlichen Problemen zu kämpfen haben, ebenfalls einen dauerhaften Aufenthalt in der Schweiz anstreben könnten, nicht bloss als gering einzustufen. Berücksichtigt man zudem die oben erwähnte allgemeine wirtschaftliche Lage im Kosovo, dürften die mittelfristigen Zukunftsaussichten des Eingeladenen zumindest als schwierig einzustufen sein. Der Einwand auf Beschwerdeebene, der Eingeladene wolle im Kosovo leben, muss daher als nicht ausschlaggebend bezeichnet werden. Umso weniger, als ebenfalls die Schweizerische Vertretung in Pristina, welche mit den sozialen, wirtschaftlichen und politischen Verhältnissen im Herkunftsstaat des Ausländers gut vertraut ist und sich somit durchaus ein Bild des Einreisewilligen machen kann, grosse Bedenken bezüglich der anstandslosen Wiederausreise äusserte.</w:t>
      </w:r>
    </w:p>
    <w:p>
      <w:r>
        <w:rPr>
          <w:b/>
        </w:rPr>
        <w:t>E. 7.4</w:t>
      </w:r>
    </w:p>
    <w:p>
      <w:r>
        <w:t>Nach dem Gesagten besteht deshalb die erhebliche Gefahr, dass der Eingeladene nicht zuletzt aufgrund der schlechten Zukunftsperspektiven in seinem Land bestrebt sein könnte, sich wie zahlreiche seiner Landsleute längerfristig in der Schweiz niederzulassen. Die Wiederausreise ist somit nicht gewährleistet. Zwar lässt sich diese Prognose nicht zu einer gesicherten Feststellung verdichten; sie reicht aber aus, um die Erteilung eines Einreisevisums - auf das, wie erwähnt, ohnehin kein Rechtsanspruch besteht - abzulehnen. Daran ändert auch die Tatsache nichts, dass die Beschwerdeführer für die rechtzeitige Rückreise ihres Sohnes garantieren würden, denn eine solche Garantie ist trotz bester und ehrlicher Absichten nicht möglich beziehungsweise rechtlich nicht durchsetzbar (vgl. Verwaltungspraxis der Bundesbehörden [VPB] 57.24). Die Abwägung der für und gegen eine Wiederausreise sprechenden Gesichtspunkte obliegt allein der zuständigen Behörde. Die Gastgeber in der Schweiz haben darauf keinen Einfluss. Im Übrigen verpflichten sich Gastgeber - mit unterzeichneter Garantieerklärung - in erster Linie dazu, die ungedeckten Kosten für den Lebensunterhalt, einschliesslich Unfall und Krankheit, sowie für die Rückreise ihres Gastes zu übernehmen, die dem Gemeinwesen durch den Aufenthalt der Ausländerin oder des Ausländers entstehen (vgl. Art. 7 Abs. 1 VEA). Nicht garantieren können sie dagegen für die fristgerechte Ausreise ihres Gastes. Die Vorinstanz hat daher zu Recht angenommen, die Wiederausreise sei nicht gewährleistet.</w:t>
      </w:r>
    </w:p>
    <w:p>
      <w:r>
        <w:rPr>
          <w:b/>
        </w:rPr>
        <w:t>E. 8</w:t>
      </w:r>
    </w:p>
    <w:p>
      <w:r>
        <w:t>Aus diesen Darlegungen folgt, dass die angefochtene Verfügung Bundesrecht nicht verletzt. Der rechtserhebliche Sachverhalt wurde richtig und vollständig festgestellt, und die Vorinstanz hat das ihr zustehende Ermessen pflichtgemäss und zutreffend gehandhabt (Art. 49 VwVG). Die Beschwerde ist demzufolge abzuweisen.</w:t>
      </w:r>
    </w:p>
    <w:p>
      <w:r>
        <w:rPr>
          <w:b/>
        </w:rPr>
        <w:t>E. 9</w:t>
      </w:r>
    </w:p>
    <w:p>
      <w:r>
        <w:t>Bei diesem Ausgang des Verfahrens sind den Beschwerdeführern die Kosten aufzuerlegen (vgl. Art. 63 Abs. 1 VwVG). Diese sind in Anwendung von Art. 1, Art. 2 sowie Art. 3 Bst. b des Reglements vom 11. Dezember 2006 über die Kosten und Entschädigungen vor dem Bundesverwaltungsgericht (VGKE, SR 173.320.2)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