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C-7719/2007 vom 29. Januar 2010</w:t>
      </w:r>
    </w:p>
    <w:p>
      <w:r>
        <w:t>Bundesverwaltungsgericht, 2010-01-29, FR</w:t>
      </w:r>
    </w:p>
    <w:p>
      <w:r>
        <w:rPr>
          <w:b/>
        </w:rPr>
        <w:t xml:space="preserve">Quelle: </w:t>
      </w:r>
      <w:r>
        <w:t>https://mcp.opencaselaw.ch/entscheid/bvger_C-7719_2007</w:t>
      </w:r>
    </w:p>
    <w:p>
      <w:r>
        <w:t>FR: TAF C-7719/2007 du 29 janvier 2010</w:t>
      </w:r>
    </w:p>
    <w:p>
      <w:r>
        <w:t>IT: TAF C-7719/2007 del 29 gennaio 2010</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w:t>
      </w:r>
    </w:p>
    <w:p>
      <w:r>
        <w:rPr>
          <w:b/>
        </w:rPr>
        <w:t>E. 2.2</w:t>
      </w:r>
    </w:p>
    <w:p>
      <w:r>
        <w:t>L'examen du droit à des prestations selon la LAI est régi par la teneur de la LAI au moment de la décision sur opposition entreprise eu égard au principe selon lequel les règles applicables sont celles en vigueur au moment où les faits juridiquement déterminants se sont produits (ATF 130 V 445 et les références). Les dispositions de la 5ème révision de la LAI entrées en vigueur le 1er janvier 2008 ne sont donc pas applicables et les articles de loi cités ci-après sont ceux en vigueur jusqu'au 31 décembre 2007.</w:t>
      </w:r>
    </w:p>
    <w:p>
      <w:r>
        <w:rPr>
          <w:b/>
        </w:rPr>
        <w:t>E. 3.1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3.2</w:t>
      </w:r>
    </w:p>
    <w:p>
      <w:r>
        <w:t>L'assuré a droit à un quart de rente s'il est invalide à 40% au moins, à une demi-rente s'il est invalide à 50%, à trois-quarts de rente s'il est invalide à 60% et à une rente entière s'il est invalide à 70% au moins (art. 28 al. 1 LAI). Il est le lieu de préciser que, avant l'entrée en vigueur de la 4ème révision de la LAI, le droit à la rente entière était donné avec un taux d'invalidité de 662/3% au moins, la demi-rente avec un taux d'invalidité de 50% au moins et le quart de rente avec un taux de 40% au moins (cf. art. 28 al. 1 LAI dans sa teneur en vigueur jusqu'au 31 décembre 2003).</w:t>
      </w:r>
    </w:p>
    <w:p>
      <w:r>
        <w:rPr>
          <w:b/>
        </w:rPr>
        <w:t>E. 3.3</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4.1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Zurich 2009, art. 42 n° 19 p. 536 ;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4.2</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5.1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5.2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6</w:t>
      </w:r>
    </w:p>
    <w:p>
      <w:r>
        <w:t>En l'espèce, le litige porte sur le remplacement d'une rente entière d'invalidité par une demi-rente par la voie de la révision.</w:t>
      </w:r>
    </w:p>
    <w:p>
      <w:r>
        <w:rPr>
          <w:b/>
        </w:rPr>
        <w:t>E. 6.1</w:t>
      </w:r>
    </w:p>
    <w:p>
      <w:r>
        <w:t>Selon l'art. 17 LPGA (v. aussi l'ancien art. 41 LAI; arrêt du Tribunal fédéral I 561/05 du 31 mars 2006),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6.4</w:t>
      </w:r>
    </w:p>
    <w:p>
      <w:r>
        <w:t>Pour examiner si, dans un cas de révision, il y a eu une modification importante du degré d'invalidité au sens de l'art. 17 LPGA, le juge doit prendre généralement en considération l'influence de l'état de santé sur la capacité de gain au moment où a été rendue la décision qui a octroyé ou modifié le droit à la rente, ainsi que l'état de fait existant au moment de la décision attaquée. En matière de révision d'office toutefois, c'est la dernière décision entrée en force, examinant matériellement le droit à la rente, fondée sur une instruction des faits, une appréciation des preuves et une comparaison des revenus conforme au droit qui constitue le point de départ pour examiner si le degré de l'invalidité s'est modifié de manière à influencer le droit aux prestations (ATF 133 V 108 consid. 5.4; ATF 109 V 262, consid. 4a).</w:t>
      </w:r>
    </w:p>
    <w:p>
      <w:r>
        <w:rPr>
          <w:b/>
        </w:rPr>
        <w:t>E. 6.5</w:t>
      </w:r>
    </w:p>
    <w:p>
      <w:r>
        <w:t>En l'occurrence, la recourante a été mise au bénéfice d'une rente entière d'invalidité dès le 1er août 2002 par décision de l'OAI NE du 7 juillet 2003 (dossier AI p. 85-89). Par conséquent, la question de savoir si le degré d'invalidité a subi une modification doit être jugée en comparant les faits tels qu'ils se présentaient à l'époque de l'octroi de la rente par décision du 7 juillet 2003 et ceux qui ont existé jusqu'au 18 octobre 2007, date de l'acte litigieux.</w:t>
      </w:r>
    </w:p>
    <w:p>
      <w:r>
        <w:rPr>
          <w:b/>
        </w:rPr>
        <w:t>E. 7.1</w:t>
      </w:r>
    </w:p>
    <w:p>
      <w:r>
        <w:t>Dans l'expertise du 11 janvier 2006 effectuée suite à un examen de l'assurée le 30 août 2005 (dossier AI p. 151-153), le Dr F.______ retient que, après la deuxième intervention chirurgicale effectuée au mois de janvier 2003, l'assurée dispose d'une capacité de travail de 50% dans la profession de caissière-vendeuse exercée jusqu'à l'atteinte à la santé. Le service médical de l'administration atteste ensuite que l'état de santé de la recourante ne s'est pas péjoré de façon durable entre l'examen de l'assurée par l'expert et la date de la décision entreprise (cf. prise de position médicale du 13 août 2007 établie par le Dr K._______ [dossier AI p. 215] et observations de l'OAI NE du 18 mars 2008 faisant part d'une conversation avec un médecin du SMR G._______ [pce TAF 6 p. 4]). L'administration se fonde avant tout sur ces documents pour justifier le remplacement de la rente entière d'invalidité de l'assurée par une demi-rente.</w:t>
      </w:r>
    </w:p>
    <w:p>
      <w:r>
        <w:rPr>
          <w:b/>
        </w:rPr>
        <w:t>E. 7.2</w:t>
      </w:r>
    </w:p>
    <w:p>
      <w:r>
        <w:t>La recourante estime pour sa part que l'expertise du Dr F.______ ne constitue pas une base suffisante pour justifier une réduction de sa rente d'invalidité, étant donné que l'expert pose le même diagnostic que les Drs D._______ et B._______ mais arrive à une conclusion différente en ce qui concerne sa capacité de travail sans justifier cela par de nouveaux éléments objectifs ou même subjectifs. En outre, et contrairement à ce que prétend l'OAIE, sa maladie ne s'est jamais stabilisée pour permettre une reprise à 50%. Par ailleurs, il est selon elle incompréhensible que le Dr F.______ ne retienne pas la présence de limitations physiques dans l'exercice de la profession de caissière-vendeuse quand bien même la maladie dont elle souffre entraîne des diarrhées, des vomissements et des douleurs abdominales. Enfin, les rapports médicaux émanant des médecins qui suivent sa maladie au Portugal démontrent une aggravation de son état de santé depuis l'examen effectué par le Dr F.______ en août 2005. L'autorité inférieure ne peut ainsi en aucun cas se référer à l'appréciation de cet expert pour juger de sa capacité de travail au moment où la décision entreprise a été rendue (pce TAF 1).</w:t>
      </w:r>
    </w:p>
    <w:p>
      <w:r>
        <w:rPr>
          <w:b/>
        </w:rPr>
        <w:t>E. 7.3</w:t>
      </w:r>
    </w:p>
    <w:p>
      <w:r>
        <w:t>Cela étant, le Tribunal de céans est de l'avis que les rapports médicaux versés au dossier ne permettent pas de se forger une conviction quant au point de savoir si une amélioration significative de l'état de santé de la recourante a eu lieu depuis la date de la décision d'octroi d'une rente en juillet 2003 jusqu'au moment de l'examen effectué par le Dr F.______ en août 2005 respectivement jusqu'au prononcé de la décision attaquée.</w:t>
      </w:r>
    </w:p>
    <w:p>
      <w:r>
        <w:rPr>
          <w:b/>
        </w:rPr>
        <w:t>E. 7.3.1</w:t>
      </w:r>
    </w:p>
    <w:p>
      <w:r>
        <w:t>En effet, on relève d'une part que le Dr F.______, dans le rapport d'expertise daté du 11 janvier 2006, retient que la recourante se plaint de diarrhées persistantes - diurnes (environ 6 à 8 fois) et nocturnes (jusqu'à 4 fois) - accompagnées de douleurs abdominales basses en colique, de dorsalgie calmées par la prise de Dafalgan, d'une importante asthénie et de douleurs de la hanche droite et du pli inguinal droit. L'expert indique par ailleurs que la recourante souffre d'une fatigue chronique, de troubles digestifs et de douleurs de la région inguinale droite et de la hanche droite en relation avec la maladie de Crohn (cf. dossier AI p. 152 et 153). A l'examen des pièces du dossier, la Cour de céans ne peut toutefois déceler aucune différence significative par rapport à la situation existante au moment où la décision d'octroi de rente a été rendue en juillet 2003 (cf. notamment rapport du 27 octobre 2002 signé par le Dr B._______ [dossier AI p. 45 s.] et rapport du 1er février 2003 signé par le Dr D._______ [dossier AI p. 97s.]). En effet, vu le manque de renseignements détaillés quant à la gravité des problèmes de santé de la recourante au moment de la réalisation de l'expertise du mois d'août 2005 par rapport à la situation existante au moment de l'octroi initial de la rente (dont les rapports médicaux y relatifs sont relativement succincts; cf. rapport du Dr B._______ du 27 octobre 2002 [dossier AI p. 45 s.]; rapport du Dr D._______ du 1er février 2003 [dossier AI p. 97-98]; note de l'administration du 21 février 2003 faisant part d'une conversation téléphonique avec le Dr B._______ [dossier AI p. 69]), il est en l'espèce impossible de déterminer si l'appréciation de l'expert Dr F.______ fait réellement part d'une amélioration de l'état de santé de l'assurée ou s'il s'agit d'une appréciation différente d'une situation médicale identique à celle qui existait à la date de l'octroi initial de la rente, le 7 juillet 2003. Le doute est renforcé par le fait que le Dr D._______, médecin généraliste, dans son rapport médical du 17 juin 2005 (dossier AI p. 117-119), fait part d'un état stationnaire et d'une incapacité de travail totale de la recourante et que le Dr F.______, dans son rapport d'expertise daté du 11 janvier 2006, se limite à estimer de façon vague que, "après la deuxième intervention chirurgicale effectuée au mois de janvier 2003, il existe une augmentation de la capacité de travail de 50%" de la recourante (dossier AI p. 153 n° 2.5). On peut ainsi se demander si l'expert se limite à décrire d'une façon particulièrement générale l'état de santé de la recourante au moment de la réalisation de l'expertise au mois d'août 2005 ou si, de surcroît, il contredit l'opinion du Dr B._______, gastro-entérologue, selon laquelle l'amélioration de l'état de santé observée chez la recourante après la deuxième opération n'était pas suffisant pour permettre à cette dernière de recouvrer une capacité de travail (cf. dossier AI p. 69). Or, il convient de rappeler que, selon la jurisprudence, une simple appréciation différente d'un état de fait qui, pour l'essentiel, est demeuré inchangé, ne justifie pas une révision au sens de l'art. 17 LPGA (ATF 112 V 371 consid. 2b). Au vu des lacunes et incertitudes susmentionnées, il incombe à l'autorité inférieure de procéder à une instruction complémentaire de la cause permettant de juger valablement de l'évolution de l'état de santé de la recourante dans la période déterminante (par exemple en demandant au Dr F.______ en quoi exactement consistait la prétendue amélioration significative de l'état de santé de la recourante).</w:t>
      </w:r>
    </w:p>
    <w:p>
      <w:r>
        <w:rPr>
          <w:b/>
        </w:rPr>
        <w:t>E. 7.3.2</w:t>
      </w:r>
    </w:p>
    <w:p>
      <w:r>
        <w:t>D'autre part, il sied encore de relever que, selon les constatations du Dr F.______, la maladie de Crohn n'était pas parfaitement contrôlée sur le plan symptomatique ou biologique. De ce fait, l'expert avait retenu que cette affection était toujours active avec risque de développer de nouvelles complications (dossier AI p. 152 n° 5 [rapport d'expertise du 11 janvier 2006]; cf. également la prise de position médicale de la Dresse E._______ du 13 février 2006 [dossier AI p. 157]). Dans ce contexte, plusieurs indices laissent entendre que l'état de santé de la recourante est par ailleurs susceptible de s'être aggravé entre l'examen de l'assurée par l'expert au mois d'août 2005 et la date de la décision entreprise du 18 octobre 2007. Ainsi, la recourante fait valoir que depuis le mois de mars 2006, elle souffre, hormis les diarrhées chroniques, de vomissements (qui n'ont pas été retenus dans l'expertise datée du 11 janvier 2006) et de douleurs abdominales très prononcées lorsqu'elle ne peut pas aller à la selle (dossier AI p. 194 [acte d'opposition du 29 mai 2006]). Parallèlement, dans son rapport du 20 avril 2007, le Dr H._______, spécialiste en gastro-entérologie, retient que la maladie de Crohn présente durant les derniers mois des phases d'accentuation et de complications inflammatoires et infectieuses, obligeant la patiente au repos domiciliaire (dossier AI p. 201). Dans le rapport du 13 juin 2007 (dossier AI p. 210), la Dresse J._______, également spécialiste en gastro-entérologie, relève que, depuis le début de l'année 2007, la recourante présente des crises de sub-occlusion avec distension segmentaire de l'anse de l'iléon et sténose de l'anastomose iléo-colique avec ulcération de la muqueuse. Il est signalé que ces atteintes ont nécessité une hospitalisation en avril 2007 (cf. également le rapport médical du 7 mai 2007 et les deux rapports médicaux datés du 3 mai 2007 [dossier AI p. 211-213]). Au demeurant, les documents produits par la recourante font également part de complications infectieuses et autres complications extra-digestives de la maladie de Crohn telles que notamment du psoriasis et une sacro-iliite (rapport médical du 23 mai 2006 signé par le Dr H._______; rapport médical du 13 juin 2007 signé par la Dresse J._______). Dans le rapport médical du 12 novembre 2007 (pce TAF 1 p. 9) - qu'il convient de prendre en compte, étant donné qu'il est également utile pour juger de l'état de santé de la recourante avant le prononcé de l'acte litigieux (ATF 129 V 1 consid. 1.2; ATF 121 V 362 consid. 1b; ATF 99 V 98 consid. 4; arrêt du Tribunal fédéral I 856/02 du 24 décembre 2003 consid. 2.3) -, le Dr H._______ atteste que la recourante souffre d'une poliarthrite et d'une sacro-iliite très handicapantes. Dans ces conditions, les deux prises de position du service médical de l'administration postérieures à l'expertise datée du 11 janvier 2006 - qui restent par ailleurs très succinctes, lacunaires et dont la dernière n'est même pas accompagnée d'un rapport médical signé par un médecin (cf. prise de position médicale du Dr K.______ du 13 août 2007 [dossier AI p. 215]; observations de l'OAI NE du 18 mars 2008 faisant part d'une conversation avec un médecin du SMR G._______ [pce TAF 7 p. 4]) -, ne sauraient justifier une appréciation anticipée des preuves au sens de la jurisprudence mentionnée au considérant 4.1 du présent arrêt, d'autant plus que l'expertise sur laquelle se base l'OAIE remonte à un examen effectué en août 2005, que l'expert lui-même avait indiqué que la maladie de Crohn, toujours active et susceptible de développer des complications, n'était pas parfaitement contrôlée sur le plan somatique et que les documents médicaux produits par la recourante sont de nature à rendre nécessaire une instruction complémentaire de la cause de la part de l'OAIE concernant une évolution défavorable de l'état de santé de l'assurée.</w:t>
      </w:r>
    </w:p>
    <w:p>
      <w:r>
        <w:rPr>
          <w:b/>
        </w:rPr>
        <w:t>E. 7.4</w:t>
      </w:r>
    </w:p>
    <w:p>
      <w:r>
        <w:t>Au regard de tout ce qui précède, le Tribunal de céans conclut que ni l'expertise du 11 janvier 2006 ni les autres actes de la cause réunis dans le dossier soumis au Tribunal administratif fédéral constituent une base suffisante pour statuer valablement sur la capacité de travail dont dispose la recourante. Il se justifie dès lors, en application de l'art. 61 PA, de renvoyer la cause à l'OAIE pour instruction complémentaire comprenant notamment la réalisation d'une expertise médicale pluridisciplinaire, avec pour le moins le concours d'un gastro-entérologue et d'un rhumatologue, qui doit aussi tenir compte de toutes les informations médicales objectives disponibles jusqu'à sa réalisation ([cf. en particulier consid. 7.3.1 du présent arrêt]), et si cela devait s'avérer nécessaire, toute autre mesure utile à déterminer la capacité de travail effective de la recourante dans la période déterminante. L'ensemble du dossier sera par la suite soumis au service médical de l'OAIE pour examen. Enfin, une nouvelle décision sera prise sur la base d'un dossier complété conformément aux considérants du présent arrêt.</w:t>
      </w:r>
    </w:p>
    <w:p>
      <w:r>
        <w:rPr>
          <w:b/>
        </w:rPr>
        <w:t>E. 8</w:t>
      </w:r>
    </w:p>
    <w:p>
      <w:r>
        <w:t>Indépendamment de l'issue de la procédure, il n'est pas perçu de frais de procédure. En effet, étant donné que la recourante a présenté son opposition à la décision de l'OAIE du 10 avril 2006 au mois de mai 2006 et que, par conséquent, la procédure d'opposition était pendante auprès de l'OAIE au moment de l'entrée en vigueur, le 1er juillet 2006, de la modification de la LAI du 16 décembre 2005 (et notamment de son art. 69 al. 2), la procédure était gratuite pour celle-ci (cf. la let. b des dispositions transitoires relatives à la modification de la LAI du 16 décembre 2005 concernant les mesures de simplification de la procédure en relation avec l'art. 69 al. 2 LAI a contrario).</w:t>
      </w:r>
    </w:p>
    <w:p>
      <w:r>
        <w:rPr>
          <w:b/>
        </w:rPr>
        <w:t>E. 9</w:t>
      </w:r>
    </w:p>
    <w:p>
      <w:r>
        <w:t>La recourante ayant agi en étant représentée, il lui est alloué une indemnité globale de dépens de Fr. 2'000.- (art. 64 al. 1 PA et art. 7 ss du règlement du 21 février 2008 concernant les frais, dépens, et indemnités fixés par le Tribunal administratif fédéral [FITAF, RS 173.320.2]; cf. également ATF 132 V 215 consid. 6.2), compte tenu de l'importance et de la difficulté de la cause ainsi que du travail effectué par la représentante de la recourante.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