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C-7717/2010 vom 6. Juli 2012</w:t>
      </w:r>
    </w:p>
    <w:p>
      <w:r>
        <w:t>Bundesverwaltungsgericht, 2012-07-06, FR</w:t>
      </w:r>
    </w:p>
    <w:p>
      <w:r>
        <w:rPr>
          <w:b/>
        </w:rPr>
        <w:t xml:space="preserve">Quelle: </w:t>
      </w:r>
      <w:r>
        <w:t>https://mcp.opencaselaw.ch/entscheid/bvger_C-7717_2010</w:t>
      </w:r>
    </w:p>
    <w:p>
      <w:r>
        <w:t>FR: TAF C-7717/2010 du 6 juillet 2012</w:t>
      </w:r>
    </w:p>
    <w:p>
      <w:r>
        <w:t>IT: TAF C-7717/2010 del 6 luglio 2012</w:t>
      </w:r>
    </w:p>
    <w:p>
      <w:pPr>
        <w:pStyle w:val="Heading2"/>
      </w:pPr>
      <w:r>
        <w:t>Regeste</w:t>
      </w:r>
    </w:p>
    <w:p>
      <w:r>
        <w:t>Droit à la rente</w:t>
      </w:r>
    </w:p>
    <w:p>
      <w:pPr>
        <w:pStyle w:val="Heading2"/>
      </w:pPr>
      <w:r>
        <w:t>Erwägungen</w:t>
      </w:r>
    </w:p>
    <w:p>
      <w:r>
        <w:rPr>
          <w:b/>
        </w:rPr>
        <w:t>E. 1.1</w:t>
      </w:r>
    </w:p>
    <w:p>
      <w:r>
        <w:t>Sous réserve des exceptions prévues à l'art. 32 de la loi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L'art. 40 du règlement du 17 janvier 1961 sur l'assurance-invalidité (RAI, RS 831.201) précise les compétences des offices AI cantonaux et de l'OAIE. Ce dernierest ainsi compétent pour enregistrer et examiner les demandes des assurés domiciliés à l'étranger, sous réserve de l'art. 40 al. 2 RAI, qui règle le cas particulier des demandes des frontaliers. L'art. 40 al. 2 RAI prévoit en effet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Il appartient à l'OAIE de notifier les décisions (art. 40 al. 2 RAI dernière phrase). C'est donc à juste titre que l'OAIE a notifié la décision du 15 juin 2009.</w:t>
      </w:r>
    </w:p>
    <w:p>
      <w:r>
        <w:rPr>
          <w:b/>
        </w:rPr>
        <w:t>E. 1.3</w:t>
      </w:r>
    </w:p>
    <w:p>
      <w:r>
        <w:t>En vertu de l'art. 3 let. 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dans les formes requises par la loi (art. 60 LPGA et 52 PA), et l'avance sur les frais de procédure ayant été dûment acquittée, le recours est recevable.</w:t>
      </w:r>
    </w:p>
    <w:p>
      <w:r>
        <w:rPr>
          <w:b/>
        </w:rPr>
        <w:t>E. 2.1</w:t>
      </w:r>
    </w:p>
    <w:p>
      <w:r>
        <w:t>L'accord entre la Suisse et la Communauté européenne et ses États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[Textes en vigueur pour la Suisse jusqu'au 31 mars 2012].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sauf précision contraire celles en vigueur à compter du 1er janvier 2008. Ne sont en revanche pas applicables les dispositions de la 6ème révision de la LAI (premier volet) en vigueur dès le 1er janvier 2012 (RO 2011 5659, FF 2010 1647). En ce qui concerne les faits déterminants, selon la jurisprudence, le Tribunal de céans doit se limiter à examiner la situation de faite existant jusqu'à la date de la décision attaquée (ATF 130 V 445 consid. 1.2).</w:t>
      </w:r>
    </w:p>
    <w:p>
      <w:r>
        <w:rPr>
          <w:b/>
        </w:rPr>
        <w:t>E. 4</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État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le recourant a versé des cotisations à l'AVS/AI pendant plus de trois ans au total (doc. 17) et remplit, partant, la condition de la durée minimale de cotisations. Il reste dès lors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5.3</w:t>
      </w:r>
    </w:p>
    <w:p>
      <w:r>
        <w:t>Selon l'art 14a LAI, l'assuré qui présente depuis six mois au moins une incapacité de travail (art. 6 LPGA) de 50 % au moins a droit à des mesures de réinsertion préparant à la réadaptation professionnelle (mesures de réinsertion), pour autant que celles-ci servent à créer les conditions permettant la mise en oeuvre de mesures d'ordre professionnel. Ces mesures de réinsertion peuvent être socioprofessionnelles ou d'occupation. Pendant la durée des mesures de réinsertion, l'assuré est suivi par l'office AI, qui vérifie aussi l'efficacité de ces mesures.</w:t>
      </w:r>
    </w:p>
    <w:p>
      <w:r>
        <w:rPr>
          <w:b/>
        </w:rPr>
        <w:t>E. 5.4</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5.5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w:t>
      </w:r>
    </w:p>
    <w:p>
      <w:r>
        <w:t>Le recourant a travaillé en Suisse jusqu'en 2009 en qualité de manoeuvre-chauffeur. Depuis le 24 avril 2009, il a cessé toute activité et il a été licencié pour cause de cessation d'activité de l'entreprise le 30 août 2009. Toutefois, depuis 1er avril 1986, selon les indications de la SUVA, le recourant a été mis au bénéfice d'une rente pour incapacité de gain de 40% suite à un accident, son rendement au travail et son salaire étaient donc déjà affectés par les suites de celui-ci.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8.1</w:t>
      </w:r>
    </w:p>
    <w:p>
      <w:r>
        <w:t>Il ressort des pièces au dossier que le recourant souffre principalement d'une maladie polyarticulaire inflammatoire, d'une polyarthrose, d'un diabète et d'une hypertension, ainsi que, suite à un accident, de troubles oculaires non mieux spécifiés. En ce qui concerne les conséquences des affections diagnostiquées, à l'exclusion des troubles oculaires, sur la capacité de travail de l'assuré, la Dresse F._______, rhumatologue, et la Dresse G.______, médecin du SMR, ont retenu que dans une activité adaptée aux limitations fonctionnelles constatées, soit éviter l'anteflexion prolongée du cou et les mouvements de rotations répétitifs, éviter l'élévation des membres supérieurs au-dessus de l'horizontale et l'abduction, éviter les positions accroupies et en génouflexion ainsi que la marche sur terrain irrégulier, éviter le port de charge de plus de 10 kg, alterner la position debout-assise et la position en porte-à-faux du rachis, la capacité de travail résiduelle était de 50%.Or, le Tribunal constate que l'autorité inférieure a fait complètement abstraction des suites de l'accident dont le recourant a été victime en 1982, pris en charge par la SUVA, qui lui reconnait une perte de gain de 40 % depuis avril 1986. La Dresse F._______ avait pourtant mentionné dans son expertise (doc. 44 p. 37) que l'assuré bénéficiait d'une rente à 40% pour une lésion oculaire gauche pour laquelle elle n'avait pas d'indications sur la nature de la limitation qui en découlait et que, par conséquent, ses conclusions étaient uniquement basées sur les constatations relatives aux diagnostics énoncés dans l'expertise elle-même. De plus, dans le questionnaire à l'employeur du 3 août 2009, celui-ci avait bien spécifié que suite à un accident le recourant était diminué dans son rendement et que son salaire était aussi réduit en conséquence, puisque son salaire aurait été en 2008 de Fr. 5500.-- au lieu de Fr. 3285.--. Or, le Tribunal relève qu'à tort l'autorité inférieure s'est basée, pour déterminer le salaire sans invalidité et pour calculer la perte de gain, sur le salaire annuel de 2008, revenu que le recourant percevait alors qu'il subissait déjà une perte de gain suite à son accident de 1982.</w:t>
      </w:r>
    </w:p>
    <w:p>
      <w:r>
        <w:rPr>
          <w:b/>
        </w:rPr>
        <w:t>E. 8.2</w:t>
      </w:r>
    </w:p>
    <w:p>
      <w:r>
        <w:t>Ainsi, le Tribunal de céans, en vertu de l'art. 61 PA, dont l'application se justifie vu que l'instruction était manifestement lacunaire et insuffisante lors du prononcé de la décision attaquée (ATF 137 V 210 consid. 4.4.1.4), doit admettre partiellement le recours, annuler la décision entreprise et renvoyer le dossier à l'OAIE afin qu'il établisse par tous les moyens utiles, notamment la prise de connaissance du dossier complet de la SUVA, et, le cas échéant, l'exécution d'une expertise pluridisciplinaire, les informations nécessaires à une évaluation globale de la capacité de travail de l'intéressé dans des activités de substitution raisonnablement exigibles, fixe le taux d'invalidité sur la base d'une comparaison de revenu et rende, après avoir accordé au recourant le droit d'être entendu, une nouvelle décision.</w:t>
      </w:r>
    </w:p>
    <w:p>
      <w:r>
        <w:rPr>
          <w:b/>
        </w:rPr>
        <w:t>E. 9.1</w:t>
      </w:r>
    </w:p>
    <w:p>
      <w:r>
        <w:t>Vu l'issue de la cause, il n'est pas perçu de frais de procédure (art. 63 al. 1 et 2 PA; art. 6 let b du règlement du 21 février 2008 concernant les frais, dépens et indemnités fixés par le Tribunal administratif fédéral [FITAF, RS 173.320.2]). L'avance de frais de Fr. 400.-versée par le recourant, lui sera remboursée.</w:t>
      </w:r>
    </w:p>
    <w:p>
      <w:r>
        <w:rPr>
          <w:b/>
        </w:rPr>
        <w:t>E. 9.2</w:t>
      </w:r>
    </w:p>
    <w:p>
      <w:r>
        <w:t>Bien que le recourant ait obtenu gain de cause, il n'a ni eu recours à un mandataire professionnel ni encouru de frais particulièrement élevés et nécessaires à la cause, de sorte qu'il ne lui est alloué aucune indemnité à titre de dépens (art. 64 al. 1 PA; art. 7 et art. 14 FITAF). (dispositif à la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