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C-7715/2015 vom 28. April 2016</w:t>
      </w:r>
    </w:p>
    <w:p>
      <w:r>
        <w:t>Bundesverwaltungsgericht, 2016-04-28, DE</w:t>
      </w:r>
    </w:p>
    <w:p>
      <w:r>
        <w:rPr>
          <w:b/>
        </w:rPr>
        <w:t xml:space="preserve">Quelle: </w:t>
      </w:r>
      <w:r>
        <w:t>https://mcp.opencaselaw.ch/entscheid/bvger_C-7715_2015</w:t>
      </w:r>
    </w:p>
    <w:p>
      <w:r>
        <w:t>FR: TAF C-7715/2015 du 28 avril 2016</w:t>
      </w:r>
    </w:p>
    <w:p>
      <w:r>
        <w:t>IT: TAF C-7715/2015 del 28 aprile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philippinischen Staatsangehörigen um Erteilung eines Visums für einen 90-tägigen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 entgegen der Ansicht der Beschwerdeführerin -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bzw. der Gesuchstellerin bestehen, den Schengen-Raum vor Ablauf des beantragten Visums zu verlassen (vgl. BVGE 2014/1 E. 4.4 m.H.).</w:t>
      </w:r>
    </w:p>
    <w:p>
      <w:r>
        <w:rPr>
          <w:b/>
        </w:rPr>
        <w:t>E. 4.5</w:t>
      </w:r>
    </w:p>
    <w:p>
      <w:r>
        <w:t>Sind die vorerwähnten Einreisevoraussetzungen (Visum ausgenommen) nicht erfüllt, darf ein für den gesamten Schengen-Raum geltendes "einheitliches Visum" (Art. 2 Ziff. 3 Visakodex) nicht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philippinische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Trotz des starken Wirtschaftswachstums ist es der philippinischen Regierung nicht gelungen, die Armut im Lande spürbar zu reduzieren. Nach Angaben der Weltbank stagniert sie bei rund 25%, und dies gegen den Trend der Südostasien-Region, in der die Armut allgemein rückläufig ist. Ein wesentlicher Grund ist das hohe Bevölkerungswachstum von etwa 2% (ca. zwei Millionen Menschen pro Jahr). Die Armut ist auf den Philippinen regional unterschiedlich verteilt, insbesondere in ländlichen Gebieten ist sie wesentlich höher als in den Städten. Arbeitslosigkeit und Unterbeschäftigung bleiben drängende Probleme. Die Arbeitslosenquote auf den Philippinen ist nach offiziellen Angaben zwar relativ moderat und lag in den letzten Jahren recht stabil bei ca. 7%. Dem nur leichten bis stagnierenden Rückgang der Arbeitslosigkeit steht hingegen ein starker Anstieg der Unterbeschäftigung gegenüber (ca. 23%). Außerdem verlassen über eine Million Menschen jährlich das Land, um im Ausland Arbeit zu suchen - mit zunehmender Tendenz. Die Entsendung von Gastarbeitern ins Ausland hilft zwar einerseits, den heimischen Arbeitsmarkt zu entlasten und Devisen zu erwirtschaften. Sie führt andererseits aber zu einer immer ausgeprägteren Konzentration unterqualifizierter Arbeitnehmer im Inland, die sich in einem Mangel an Facharbeitern im Lande niederschlägt (Quelle: Deutsches Auswärtiges Amt, www.auswaertiges-amt.de &gt; Aussen- und Europapolitik &gt; Länderinformationen &gt; Philippinen &gt; Wirtschaft, Stand: September 2015, Seite besucht im April 2016). Vor diesem aufgezeigten wirtschaftlichen Hintergrund besteht, wie oben ausgeführt,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Bei der Risikoanalyse sind allerdings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(vgl. Urteil des BVGer C-694/2015 vom 20. August 2015 E. 5.4 m.H.).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Die bald 23-jährige, unverheiratete Gesuchstellerin lebt gemäss den Visumsakten in ihrem Heimatland in gemeinsamem Haushalt mit ihren Eltern und Geschwistern. Irgendwelche Verantwortlichkeiten der Eingeladenen gegenüber ihren Familienangehörigen werden von der Beschwerdeführerin nicht geltend gemacht. Anhaltspunkte für das Bestehen eines besonderen Betreuungsbedarfs von Angehörigen, der nur durch die Gesuchstellerin selbst abgedeckt werden könnte, sind denn auch aus den Akten nicht ersichtlich.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Die wirtschaftlichen Verhältnisse, in denen sich die Eingeladene befindet, lassen ebenfalls nicht auf eine günstige Prognose bezüglich einer gesicherten Wiederausreise schliessen. In ihrer Stellungnahme an die Vor-instanz vom 26. August 2015 hielt die Schweizer Vertretung in Manila fest, die Gesuchstellerin sei momentan arbeitslos, verfüge über keine eigenen Finanzen und habe ihr Studium wegen des geplanten Aufenthaltes in der Schweiz aufgegeben. In ihrer Rechtsmitteleingabe vom 28. November 2015 wies die Beschwerdeführerin darauf hin, dass ihre Grossnichte nach abgeschlossener Informatik-Ausbildung während 14 Monaten beim gleichen Arbeitgeber tätig gewesen sei, bevor sie eine neue Arbeitsstelle angetreten habe und jetzt eine Internet-Tätigkeit als Englischlehrerin für chinesische Schüler ausübe, wofür sie stundenweise bezahlt werde. Replikweise macht die Beschwerdeführerin nunmehr geltend, die Eingeladene habe am 23. November 2015 eine neue Arbeitsstelle als Website-Designerin und "Updater" in einer Firma angetreten, wo sie rund 50% mehr Lohn als bei ihrem früheren Arbeitgeber (gemäss den eingereichten Lohnabrechnungen umgerechnet rund Fr. 320.-) erhalte. Allein schon aufgrund der Tatsache, dass die Eingeladene offenbar trotz ihrer erst kürzlich angetretenen neuen Arbeitsstelle nach wie vor die maximal zulässige Aufenthaltsdauer von 90 Tagen voll ausschöpfen möchte, kann - jedenfalls zum jetzigen Zeitpunkt - kaum von einer beruflichen Verankerung oder auch nur von vorteilhaften wirtschaftlichen Verhältnissen ausgegangen werden, die nachhaltig von einer Emigration abzuhalten vermöchten, zumal die Beschwerdeführerin betont, ohne die finanzielle Unterstützung von ihr und einer weiteren Verwandten hätten weder die Gesuchstellerin noch ihre Geschwister das College im Heimatland besuchen können. Vor diesem Hintergrund müssen die Beteuerungen auf Beschwerdeebene, wonach genügend Garantien für eine fristgerechte Wiederausreise vorhanden seien, als nicht ausschlaggebend bezeichnet werden. Dies umso weniger, als die von der Schweizer Vertretung sowie der Vorinstanz geäusserten Zweifel am Aufenthaltszweck von der Beschwerdeführerin im Verlaufe des Verfahrens nicht ausgeräumt werden konnten und als durchaus begründet erscheinen.</w:t>
      </w:r>
    </w:p>
    <w:p>
      <w:r>
        <w:rPr>
          <w:b/>
        </w:rPr>
        <w:t>E. 6.3</w:t>
      </w:r>
    </w:p>
    <w:p>
      <w:r>
        <w:t>Unter den gegebenen Umständen durfte die Vorinstanz demnach willkürfrei davon ausgehen, die Wiederausreise der Eingeladenen sei im Sinne der massgeblichen Bestimmungen nicht gesichert. An der Richtigkeit dieser Einschätzung ändert auch die Tatsache nichts, dass die bereits seit 1979 in der Schweiz eingebürgerte Beschwerdeführerin, die gemäss den eingereichten Unterlagen fraglos über einen guten Leumund verfügt, die in Art. 7 Abs. 1 VEV geregelte Verpflichtungserklärung abgegeben und damit ihr Vertrauen in ein rechtskonformes Verhalten ihres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Gastgeberin zwischen 1984 und 2011 verschiedenste nähere und entferntere Verwandte und Bekannte aus den Philippinen zu sich in die Schweiz eingeladen hat, welche jeweils fristgerecht wieder in ihr Heimatland zurückgekehrt sind, lässt doch auch dieser Umstand keine Rückschlüsse auf ein zukünftiges Verhalten der Gesuchstellerin selbst zu (vgl. Urteil des BVGer C 6602/2013 vom 14. Mai 2014 E. 7). Zudem ist jedes Einreisegesuch nach Massgabe seiner spezifischen Gegebenheiten einzelfallweise zu beurteilen (vgl. Urteile des BVGer C-6790/2013 vom 13. Mai 2015 E. 6.4 m.H. sowie C-441/2015 vom 12. Mai 2015 E. 6.4.3).</w:t>
      </w:r>
    </w:p>
    <w:p>
      <w:r>
        <w:rPr>
          <w:b/>
        </w:rPr>
        <w:t>E. 7</w:t>
      </w:r>
    </w:p>
    <w:p>
      <w:r>
        <w:t>Unter Hinweis auf ihre unbestrittenermassen enge Beziehung zu ihrer Grossnichte macht die Beschwerdeführerin schliesslich eine Verletzung von Art. 8 EMRK geltend. Soweit sie sich auf das von der genannten Bestimmung geschützte Recht auf Achtung des Familienlebens beruft, ist zu erwähnen, dass dieses in erster Linie die Kernfamilie schützt, d.h. die Gemeinschaft der Ehegatten mit ihren minderjährigen Kindern. Die bundesgerichtliche Rechtsprechung anerkennt hingegen auch Ansprüche unter Erwachsenen, wenn zwischen nahen Familienangehörigen - beispielsweise aufgrund von Krankheit oder Invalidität - ein besonderes Abhängigkeitsverhältnis besteht (vgl. bspw. Urteile des BGer 2C_418/2015 vom 21. Dezember 2015 E. 4.6.2 und des BVGer C-1902/2012 vom 18. Februar 2014 E. 5.3.1 je m.w.H.). In vorliegendem Verfahren wird hingegen nicht dargetan und ist auch nicht aus den Akten ersichtlich, inwiefern ein solches besonderes Abhängigkeitsverhältnis zwischen der Gastgeberin und ihrer Grossnichte bestehen soll. Ohnehin gilt es zu beachten, dass Art. 8 EMRK praxisgemäss keinen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Familienleben ausserhalb der Schweiz zu pflegen.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der Gesuchstellerin und ihrer Grosstante auch anderweitig gepflegt werden, befindet sich doch Letztere gemäss eigenen Angaben seit Mitte Januar 2016 bis Ende Mai 2016 ohnehin bei ihren Verwandten auf den Philippinen, denen sie alljährlich einen Besuch abstattet. Bei dieser Sachlage kann vorliegend aus Art. 8 EMRK kein Anspruch auf Erteilung eines Visums abgeleitet werden. Es bestehen demzufolge auch keine Gründe, die es erlauben würden, der Gesuchstellerin ein humanitäres Visum mit räumlich beschränkter Gültigkeit auszustellen (vgl. E. 4.5 hievor sowie zum Ganzen Urteil des BVGer C 6239/2015 vom 4. März 2016 E. 9).</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