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C-7714/2010 vom 2. April 2012</w:t>
      </w:r>
    </w:p>
    <w:p>
      <w:r>
        <w:t>Bundesverwaltungsgericht, 2012-04-02, DE</w:t>
      </w:r>
    </w:p>
    <w:p>
      <w:r>
        <w:rPr>
          <w:b/>
        </w:rPr>
        <w:t xml:space="preserve">Quelle: </w:t>
      </w:r>
      <w:r>
        <w:t>https://mcp.opencaselaw.ch/entscheid/bvger_C-7714_2010</w:t>
      </w:r>
    </w:p>
    <w:p>
      <w:r>
        <w:t>FR: TAF C-7714/2010 du 2 avril 2012</w:t>
      </w:r>
    </w:p>
    <w:p>
      <w:r>
        <w:t>IT: TAF C-7714/2010 del 2 aprile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soweit sie das Einreiseverbot betrifft (vgl. Art. 49 ff. VwVG). Das Gesuch um Erteilung einer vorläufigen Aufnahme ist nicht Gegen- stand des vorliegenden Verfahrens, weshalb darauf nicht einzutreten ist, kann doch Streitgegenstand nur sein, was vom Anfechtungsgegenstand erfasst wird.</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3.2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4.1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den Beschwerdeführer im Ergebnis nichts ändert (Urteil des Bundesverwaltungsgerichts C-3304/2009 vom 18. Januar 2012 E. 5.1 mit Hinweis).</w:t>
      </w:r>
    </w:p>
    <w:p>
      <w:r>
        <w:rPr>
          <w:b/>
        </w:rPr>
        <w:t>E. 4.2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4.3</w:t>
      </w:r>
    </w:p>
    <w:p>
      <w:r>
        <w:t>Der Beschwerdeführer wurde mit Urteil und Beschluss des Bezirksgerichts Zürich vom 29. September 2010 sowie mit Urteil des Bezirksgerichts Zürich vom 22. November 2011 wegen mehrfachen qualifizierten Widerhandlungen gegen das Betäubungsmittelgesetz verurteilt. Die Voraussetzungen für ein Einreiseverbot gemäss Art. 67 Abs. 1 Bst. a AuG in der Fassung vom 1. Januar 2008 bzw. Art. 67 Abs. 2 Bst. a AuG in der Fassung vom 1. Januar 2011 sind zweifelsohne erfüllt.</w:t>
      </w:r>
    </w:p>
    <w:p>
      <w:r>
        <w:rPr>
          <w:b/>
        </w:rPr>
        <w:t>E. 4.4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C-2681/2010 vom 6. Mai 2011 E. 5.4 mit Hinweis). Verurteilungen zu Freiheitsstrafen wegen Drogendelikten führten denn auch nach altem Recht regelmässig zur Anordnung einer Fernhaltemassnahme (siehe Urteil des Bundesverwaltungsgerichts C-2944/2009 vom 11. Januar 2012 E.4.4 mit Hinweisen).</w:t>
      </w:r>
    </w:p>
    <w:p>
      <w:r>
        <w:rPr>
          <w:b/>
        </w:rPr>
        <w:t>E. 4.5</w:t>
      </w:r>
    </w:p>
    <w:p>
      <w:r>
        <w:t>Weiter wurde der Beschwerdeführer mit Urteil und Beschluss des Bezirksgerichts Zürich vom 29. September 2010 wegen Geldfälschung und einem Vergehen gegen das Waffengesetz verurteilt. Mit diesen Delikten hat der Beschwerdeführer ebenfalls gegen die öffentliche Sicherheit und Ordnung in der Schweiz verstossen (vgl. Art. 67 Abs. 2 Bst. a AuG).</w:t>
      </w:r>
    </w:p>
    <w:p>
      <w:r>
        <w:rPr>
          <w:b/>
        </w:rPr>
        <w:t>E. 4.6</w:t>
      </w:r>
    </w:p>
    <w:p>
      <w:r>
        <w:t>Zudem hat sich der Beschwerdeführer gemäss Urteil und Beschluss des Bezirksgerichts Zürich vom 29. September 2010 rechtswidrig in der Schweiz aufgehalten (vgl. Art. 115 Abs. 1 Bst. b AuG und zum entsprechenden bis zum 31. Dezember 2007 geltenden Art. 23 Abs. 1 al. 4 ANAG vgl. VALENTIN ROSCHACHER, Die Strafbestimmungen des Bundesgesetzes über Aufenthalt und Niederlassung der Ausländer vom 26. März 1931 [ANAG], Diss. Chur/Zürich 1991, S. 42 ff.). Es steht ausser Zweifel, dass er durch das Nichtbefolgen der behördlich angesetzten Ausreisefrist und den illegalen Aufenthalt gegen die öffentliche Sicherheit und Ordnung in der Schweiz verstossen hat (vgl. Art. 67 Abs. 2 Bst. a AuG).</w:t>
      </w:r>
    </w:p>
    <w:p>
      <w:r>
        <w:rPr>
          <w:b/>
        </w:rPr>
        <w:t>E. 4.7</w:t>
      </w:r>
    </w:p>
    <w:p>
      <w:r>
        <w:t>Demzufolge hat der Beschwerdeführer im mehrfacher Hinsicht gegen die öffentliche Sicherheit und Ordnung im Sinne von Art. 67 Abs. 2 Bst. a AuG verstossen. 5.Es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5.1 Mit Blick auf die Dauer der verhängten Massnahme von Belang erscheint, dass der Beschwerdeführer selbst nicht drogensüchtig ist und sich nicht auf der untersten Hierarchiestufe im Drogenhandel befand sowie aus rein finanziellen Motiven bereit war, durch Drogenhandel die Gesundheit einer Vielzahl von Menschen erheblichen Gefahren auszusetzen. Mitzuberücksichtigen gilt es ferner, dass er nicht selbständig vom Drogenhandel Abstand nahm, sondern erst infolge seiner Verhaftung. Sein Fehlverhalten wiegt aus präventivpolizeilicher Sicht sehr schwer. Betreffend die Geldfälschung ist das Verschulden des Beschwerdeführers als nicht mehr leicht zu qualifizieren, da die Summe des Falschgeldes doch eine gewisse Höhe erreichte. Unter dem spezifischen Aspekt des Ausländerrechts muss er daher über Jahre hinweg als Risikofaktor für die öffentliche Sicherheit und Ordnung betrachtet werden, was grundsätzlich ein unbefristetes Einreiseverbot bzw. eine Fernhaltemassnahme von mehr als fünf Jahren rechtfertigt (vgl. Art. 67 Abs. 3 in fine AuG). 5.2 An persönlichen Interessen macht der Beschwerdeführer in seiner Rechtsmitteleingabe geltend, er erhalte laut Mitteilung des kubanischen Konsulats keine Rückreiseerlaubnis, da er sich bereits seit dem 16. November 2005 in der Schweiz aufhalte. Der Vollzug der Wegweisung sei somit weder möglich noch zulässig, so dass die vorläufige Aufnahme anzuordnen sei. Zudem sei das verfügte Einreiseverbot auf unbestimmte Zeit unverhältnismässig, da dieses einen sehr schwerwiegenden Rechtsverstoss voraussetze. Zu ersterem Einwand ist festzustellen, dass das Aufenthaltsrecht, über welches bereits mit Verfügung des Migrationsamts des Kantons Zürich vom 30. Juni 2009 rechtskräftig negativ entschieden wurde, nicht Gegenstand dieses Verfahrens bildet (vgl. E. 1.3). 5.3 Eine wertende Gewichtung der sich entgegenstehenden Interessen führt das Bundesverwaltungsgericht zum Schluss, dass das unbefristete Einreiseverbot auch im gegenwärtigen Zeitpunkt unter Berücksichtigung der gängigen Praxis in vergleichbaren Fällen eine verhältnismässige und angemessene Massnahme zum Schutz der öffentlichen Ordnung darstellt. Schliesslich bedeutet die fehlende Befristung nicht, dass die Massnahme für den Rest des Lebens Gültigkeit haben soll; ein Anspruch auf Überprüfung der Massnahme bei Wohlverhalten besteht im Allgemeinen etwa zehn Jahre nach Verbüssung der letzten Freiheitsstrafe (vgl. BVGE 2008/24 E. 4.3 und 6.2 je mit Hinweisen). Eine zuverlässige Prognose, wie lange ein relevantes öffentliches Sicherheitsbedürfnis anzunehmen ist, lässt sich in casu zum jetzigen Zeitpunkt nicht abgeben. Es ist vom Beschwerdeführer zu verlangen, sich vorerst während geraumer Zeit im Ausland zu bewähren.</w:t>
      </w:r>
    </w:p>
    <w:p>
      <w:r>
        <w:rPr>
          <w:b/>
        </w:rPr>
        <w:t>E. 6</w:t>
      </w:r>
    </w:p>
    <w:p>
      <w:r>
        <w:t>Aus diesen Erwägungen ergibt sich, dass die angefochtene Verfügung im Lichte von Art. 49 VwVG nicht zu beanstanden ist. Die Beschwerde ist demzufolge - soweit darauf einzutreten ist - abzuweisen. 7.Entsprechend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8</w:t>
      </w:r>
    </w:p>
    <w:p>
      <w:r>
        <w:t>Das vorliegende Urteil ist endgültig (Art. 83 Bst. c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