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C-770/2011 vom 24. August 2012</w:t>
      </w:r>
    </w:p>
    <w:p>
      <w:r>
        <w:t>Bundesverwaltungsgericht, 2012-08-24, DE</w:t>
      </w:r>
    </w:p>
    <w:p>
      <w:r>
        <w:rPr>
          <w:b/>
        </w:rPr>
        <w:t xml:space="preserve">Quelle: </w:t>
      </w:r>
      <w:r>
        <w:t>https://mcp.opencaselaw.ch/entscheid/bvger_C-770_2011</w:t>
      </w:r>
    </w:p>
    <w:p>
      <w:r>
        <w:t>FR: TAF C-770/2011 du 24 août 2012</w:t>
      </w:r>
    </w:p>
    <w:p>
      <w:r>
        <w:t>IT: TAF C-770/2011 del 24 agosto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die von einer in Art. 33 VGG aufgeführten Behörde erlassen wurden. Darunter fallen u.a. Verfügungen des BFM, mit denen die Erteilung einer Einreisebewilligung verweigert wird. In diesem Bereich entscheidet das Bundesverwaltungsgericht endgültig (vgl.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(vgl. Art. 37 VGG).</w:t>
      </w:r>
    </w:p>
    <w:p>
      <w:r>
        <w:rPr>
          <w:b/>
        </w:rPr>
        <w:t>E. 1.3</w:t>
      </w:r>
    </w:p>
    <w:p>
      <w:r>
        <w:t>Der Beschwerdeführer ist gemäss Art. 48 Abs. 1 VwVG zur Beschwerde berechtigt. Auf die im Übrigen frist- und formgerecht eingereichte Beschwerde ist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2011/1 E. 2, BVGE 2007/41 E. 2 und Urteil des Bundesverwaltungsgerichts A 2682/2007 vom 7. Oktober 2010 E. 1.2 und 1.3).</w:t>
      </w:r>
    </w:p>
    <w:p>
      <w:r>
        <w:rPr>
          <w:b/>
        </w:rPr>
        <w:t>E. 3</w:t>
      </w:r>
    </w:p>
    <w:p>
      <w:r>
        <w:t>Der Beschwerdeführer holte die als Einschreiben verschickte Verfügung vom 15. April 2011 (Einladung zur Replik) bei der Post nicht ab, so dass sie nach Ablauf der Abholfrist retourniert wurde. In seiner verspäteten Eingabe vom 22. Mai 2011 führt er aus, er sei in den Ferien gewesen und es sollte in juristischen Angelegenheiten eine Zweitzustellung erfolgen. Der Beschwerdeführer verkennt seine Pflichten während eines hängigen Verfahrens: Wer sich in dieser Zeit nicht an der angegebenen Adresse aufhält, hat geeignete Vorkehrungen für die Zustellbarkeit behördlicher Mitteilungen zu treffen, sofern die Zustellung behördlicher Akte während der Abwesenheit mit einer gewissen Wahrscheinlichkeit zu erwarten sind. Dies ist während hängigem Verfahren nahezu immer der Fall (vgl. Bernard Maitre/Va­nessa Thalmann, in: Waldmann/Weissenberger [Hrsg.], Praxiskommentar VwVG, Zürich 2009, Art. 20 N 17; Felix Uhlmann/Alexandra Schwank, in: Waldmann/Weissenberger, a.a.O., Art. 34 N 15 f.). Dieser Verpflichtung ist der Beschwerdeführer nicht nachgekommen, was dazu geführt hat, dass er nicht innerhalb der angesetzten Frist zur Vernehmlassung der Vorinstanz Stellung nehmen konnte. Allerdings schadet ihm diese Pflichtverletzung insofern nicht, als das Bundesverwaltungsgericht gemäss Art. 32 Abs. 2 VwVG verspätete Parteivorbringen berücksichtigen kann, sofern diese ausschlaggebend erscheinen.</w:t>
      </w:r>
    </w:p>
    <w:p>
      <w:r>
        <w:rPr>
          <w:b/>
        </w:rPr>
        <w:t>E. 4</w:t>
      </w:r>
    </w:p>
    <w:p>
      <w:r>
        <w:t>In formeller Hinsicht rügt der Beschwerdeführer sinngemäss eine Verletzung seines Anspruchs auf rechtliches Gehör. Die Vorinstanz habe einen "Konservenbrief" verfasst und sich nicht mit seinen Eingaben und Stellungnahmen auseinandergesetzt.</w:t>
      </w:r>
    </w:p>
    <w:p>
      <w:r>
        <w:rPr>
          <w:b/>
        </w:rPr>
        <w:t>E. 4.1</w:t>
      </w:r>
    </w:p>
    <w:p>
      <w:r>
        <w:t>Der in Art. 29 Abs. 2 der Bundesverfassung der Schweizerischen Eidgenossenschaft vom 18. April 1999 (BV, SR 101) garantierte und in Art. 26 ff. VwVG für das Bundesverwaltungsverfahren konkretisierte Grundsatz des Anspruchs auf rechtliches Gehör umfasst unter anderem die Pflicht der Behörde, alle erheblichen und rechtzeitigen Vorbringen der Parteien zu würdigen, bevor sie verfügt (Art. 32 Abs. 1 VwVG) und ihre Verfügung zu begründen (Art. 35 Abs. 1 VwVG). Ob die Behörde sämtliche erheblichen Parteivorbringen gewürdigt hat, kann regelmässig nur anhand der Begründung der Verfügung beurteilt werden (vgl. Bernhard Waldmann/Jürg Bickel, in: Waldmann/Weissenberger [Hrsg.], Praxiskommentar VwVG, Zürich 2009, Art. 32 N 21).</w:t>
      </w:r>
    </w:p>
    <w:p>
      <w:r>
        <w:rPr>
          <w:b/>
        </w:rPr>
        <w:t>E. 4.2</w:t>
      </w:r>
    </w:p>
    <w:p>
      <w:r>
        <w:t>Die Begründung muss so abgefasst sein, dass der Betroffene die Verfügung sachgerecht anfechten kann. Dies ist nur möglich, wenn sowohl er als auch die Rechtsmittelinstanz sich über die Tragweite des Entscheids ein Bild machen können. In diesem Sinn müssen wenigstens kurz die Überlegungen genannt werden, von denen sich die Behörde leiten liess und auf die sie ihren Entscheid stützt. Das bedeutet allerdings nicht, dass sich die Behörde ausdrücklich mit jeder tatbeständlichen Behauptung und jedem rechtlichen Einwand auseinanderzusetzen hätte. Vielmehr kann sie sich auf die für den Entscheid wesentlichen Gesichtspunkte beschränken. Die Behörde hat demnach in der Begründung ihres Entscheides diejenigen Argumente aufzuführen, die diesem tatsächlich zugrunde liegen (BGE 136 I 229 E. 5.2 mit Hinweisen; BVGE 2009/35 E. 6.4.1 mit Hinweisen).</w:t>
      </w:r>
    </w:p>
    <w:p>
      <w:r>
        <w:rPr>
          <w:b/>
        </w:rPr>
        <w:t>E. 4.3</w:t>
      </w:r>
    </w:p>
    <w:p>
      <w:r>
        <w:t>Die Begründung in der angefochtenen Verfügung ist sehr kurz gehalten. Auch in der Vernehmlassung wird sie nicht wesentlich erweitert. Trotzdem ist sie - gemessen an den oben erwähnten Kriterien - als genügend anzusehen. Die Vorinstanz hat die im Dossier enthaltenen Unterlagen inklusive Vorbringen des Beschwerdeführers geprüft (vgl. die Formulierung "nach umfassender Prüfung der Unterlagen") und ihre Schlussfolgerungen gezogen. Sie ist, wie erwähnt, nicht verpflichtet, jedes Argument einzeln aufzugreifen. Die Begründung ist zwar knapp ausgefallen, hat es dem Beschwerdeführer aber ermöglicht, wie sich an der Beschwerdeschrift zeigt, den Entscheid sachgemäss anzufechten. Die implizite Rüge der Verletzung des Anspruchs auf rechtliches Gehör ist demnach unbegründet.</w:t>
      </w:r>
    </w:p>
    <w:p>
      <w:r>
        <w:rPr>
          <w:b/>
        </w:rPr>
        <w:t>E. 5</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w:t>
      </w:r>
    </w:p>
    <w:p>
      <w:r>
        <w:rPr>
          <w:b/>
        </w:rPr>
        <w:t>E. 6</w:t>
      </w:r>
    </w:p>
    <w:p>
      <w:r>
        <w:t>Die inländischen Bestimmungen über das Visumsverfahren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7.1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Visumserteilung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7.2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bieten (Art. 14 Abs. 1 Bst. c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Bst. e SGK).</w:t>
      </w:r>
    </w:p>
    <w:p>
      <w:r>
        <w:rPr>
          <w:b/>
        </w:rPr>
        <w:t>E. 8</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9</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die Volksrepublik China in dieser Liste aufgeführt ist, unterliegt die Gesuchstellerin der Visumspflicht.</w:t>
      </w:r>
    </w:p>
    <w:p>
      <w:r>
        <w:rPr>
          <w:b/>
        </w:rPr>
        <w:t>E. 10</w:t>
      </w:r>
    </w:p>
    <w:p>
      <w:r>
        <w:t>Die Vorinstanz begründet die Abweisung der Einsprache im Wesentlichen damit, dass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fällt unter anderem die allgemeine Situation im Herkunftsgebiet in Betracht.</w:t>
      </w:r>
    </w:p>
    <w:p>
      <w:r>
        <w:rPr>
          <w:b/>
        </w:rPr>
        <w:t>E. 10.1</w:t>
      </w:r>
    </w:p>
    <w:p>
      <w:r>
        <w:t>Die zunehmend marktwirtschaftliche Orientierung hat in China zu grossem Wirtschaftswachstum geführt, das sich zwar im Zuge der Wirtschaftskrise verlangsamt hat, aber immer noch beachtlich ist (Steigerung BIP 2011: 9.2 %). Der Lebensstandard der Bevölkerung hat sich insgesamt erhöht, allerdings besteht ein grosses Ungleichgewicht der Einkommensverteilung, insbesondere zwischen den städtischen Gebieten bzw. Küstenregionen und den ländlichen Gebieten in West-, Nordost- und Zentralchina. Die Arbeitslosenquote wird für 2011 mit 4.1 % angegeben; es gibt jedoch Hinweise auf weit höhere Zahlen in ländlichen Gebieten. Viele Chinesen leben nach wie vor in Armut, auch in den eher wohlhabenden Gebieten (Quelle: www.auswaertiges-amt.de, Stand: April 2012, besucht im Juli 2012). Vor diesem Hintergrund besteht bei vielen Personen der Wunsch zur Auswanderung. Dies gilt insbesondere für solche, die bereits über ein minimales Beziehungsnetz im Ausland verfügen. In der Schweiz führt dies angesichts der restriktiven fremdenpolizeilichen Zulassungspraxis nicht selten zur Umgehung ausländerrechtlicher Bestimmungen. Es ist daher nicht zu beanstanden, dass die Vorinstanz das allgemeine Risiko einer nicht ordnungsgemässen Wiederausreise aus dem Schengenraum nach einem Besuchsaufenthalt als gross ansieht.</w:t>
      </w:r>
    </w:p>
    <w:p>
      <w:r>
        <w:rPr>
          <w:b/>
        </w:rPr>
        <w:t>E. 10.2</w:t>
      </w:r>
    </w:p>
    <w:p>
      <w:r>
        <w:t>Bei der Risikoanalyse sind aber nicht solche allgemeine Umstände und Erfahrungen, sondern auch sämtliche Gesichtspunkte des konkreten Einzelfalls zu berücksichtigen. Obliegt der gesuchstellenden Person im Heimatland beispielsweise eine besondere berufliche, gesellschaftliche oder familiäre Verantwortung, kann dieser Umstand durchaus die Prognose der anstandslosen Wiederausreise begünstigen. Besteht keine solche Verantwortung, ist umgekehrt von einem hohen Risiko auszugehen.</w:t>
      </w:r>
    </w:p>
    <w:p>
      <w:r>
        <w:rPr>
          <w:b/>
        </w:rPr>
        <w:t>E. 10.2.1</w:t>
      </w:r>
    </w:p>
    <w:p>
      <w:r>
        <w:t>Bei der Gesuchstellerin handelt es sich um eine 26-jährige ledige Frau. Sie lebt in Schanghai, ebenso ihre Eltern. Gemäss Angaben des Beschwerdeführers besteht vor allem zur Mutter eine enge Beziehung. Gemäss eingereichter Bestätigung der Arbeitgeberin vom 1. September 2010 ist die Gesuchstellerin dort seit August 2009 als "Law assistant" tätig. Zudem wird ihr bestätigt, dass sie vom 13. Oktober bis zum 4. November 2010 in die Schweiz und andere europäische Länder reisen könne und von ihr erwartet werde, dass sie vor dem 4. Januar 2011 nach China zurückkehre. Gemäss Erklärung der Gesuchstellerin vom 30. August 2010 spielt sie mit dem Gedanken, die Stelle aufzugeben, da die Löhne nur unregelmässig ausgezahlt würden und sie fürchte, die Firma gerate in finanzielle Schwierigkeiten. Sie habe dies dem Beschwerdeführer erzählt, woraufhin er die Idee gehabt habe, sie könne für ihn in Schanghai arbeiten. Vorher solle sie jedoch nach Europa kommen, um die europäische Kultur und Mentalität kennen zu lernen und ihre Deutschkenntnisse zu erweitern. Da sie beabsichtige, ihre Stelle zu kündigen, könne sie länger in Europa bleiben als im Rahmen normaler Ferien. Nach Angaben des Beschwerdeführers hat er die Gesuchstellerin 2009 in China kennengelernt und 2010 erneut getroffen. Sie hätten sich gut verstanden und es verbinde sie ein freundschaftliches Verhältnis. Die Gesuchstellerin habe an der Shanghai Maritime University Logistik studiert und arbeite derzeit in einer Asset Management Firma, wo sie für die Kreditkontrolle diverser Firmen verantwortlich sei. Da sie mit der Arbeitgeberin nicht zufrieden sei, beabsichtig sie, ihre Stelle für die geplante Reise zu kündigen. Nach ihrer Rückkehr würde sie sich eine neue Stelle suchen, evtl. bei ihm, dem Beschwerdeführer.</w:t>
      </w:r>
    </w:p>
    <w:p>
      <w:r>
        <w:rPr>
          <w:b/>
        </w:rPr>
        <w:t>E. 10.2.2</w:t>
      </w:r>
    </w:p>
    <w:p>
      <w:r>
        <w:t>Die Vorinstanz stützt sich in der Begründung des Einspracheentscheids einzig auf die Tatsache, dass keine Belege für besondere berufliche, familiäre oder gesellschaftliche Verpflichtungen vorlägen. In der Vernehmlassung vom 8. April 2011 führt sie zusätzlich aus, dass sie sich auf die Einschätzung der Schweizer Vertretung in Schanghai stütze, die sich mit den lokalen Verhältnissen bestens auskenne. Weder die entsprechende Zusicherung des Beschwerdeführers noch die Absicht künftiger Zusammenarbeit könnten Gewähr für die anstandslose Wiederausreise bieten.</w:t>
      </w:r>
    </w:p>
    <w:p>
      <w:r>
        <w:rPr>
          <w:b/>
        </w:rPr>
        <w:t>E. 10.2.3</w:t>
      </w:r>
    </w:p>
    <w:p>
      <w:r>
        <w:t>Der Auffassung der Vorinstanz, wonach die persönliche Situation der Gesuchstellerin, wie sie sich aus den Akten ergibt, keine Gewähr für eine anstandslose Wiederausreise bietet, ist zuzustimmen. Die berufliche Situation der Gesuchstellerin erscheint nicht sehr gefestigt: Die Stelle in der Asset Management Firma hat sie nach Angaben des Beschwerdeführers inzwischen aufgegeben und eine neue in der Autobranche angetreten (vgl. Telefonat vom 22. September 2011). In familiärer Hinsicht betont zwar der Beschwerdeführer die enge Beziehung der Gesuchstellerin zu ihrer Mutter. Diese erscheint jedoch für sich allein nicht geeignet, die Wiederausreise als gesichert anzusehen, da keine Elemente ersichtlich sind, die auf eine besondere Beziehung hinweisen könnten, welche die Beurteilung des Migrationsrisikos zugunsten der Gesuchstellerin zu beeinflussen vermöchte. Auch der Grund für die Reise in die Schweiz beseitigt die Zweifel nicht. Der Beschwerdeführer hofft, zusammen mit der Gesuchstellerin eine Geschäftsidee in China umsetzen zu können. Damit sie die europäischen Gepflogenheiten kennenlernen und ihre Deutschkenntnisse vertiefen kann, soll die Gesuchstellerin für einige Zeit in die Schweiz kommen. Zwar gibt es keinen Grund, an der Integrität des Beschwerdeführers und seinem ehrlichen Willen zu zweifeln, die ausländerrechtlichen Vorgaben einzuhalten. Nach Auffassung der Schweizer Vertretung in Schanghai und der Vorinstanz kann jedoch nicht mit genügender Sicherheit davon ausgegangen werden, dass die Gesuchstellerin rechtzeitig wieder aus dem Schengenraum ausreise. Die gegenteiligen Zusicherungen des Beschwerdeführers und seine Bereitschaft, für allfällig entstehende Kosten zu bürgen, vermögen nichts daran zu ändern, da auf diese Weise zwar gewisse finanzielle Risiken abgedeckt, ein bestimmtes Verhalten des Gastes jedoch nicht erzwungen werden kann (vgl. BVGE 2009/27 E. 9). Das Gericht sieht deshalb keinen Grund, von der Einschätzung der Vorinstanz abzuweichen, zumal der Beschwerdeführer weniger mit sachdienlichen Vorbringen als vielmehr mit den Erfahrungen, die er selber auf Auslandreisen gemacht hat, und mit seinen Vorstellungen, wie der Staat dem Bürger zu dienen habe, argumentiert.</w:t>
      </w:r>
    </w:p>
    <w:p>
      <w:r>
        <w:rPr>
          <w:b/>
        </w:rPr>
        <w:t>E. 10.2.4</w:t>
      </w:r>
    </w:p>
    <w:p>
      <w:r>
        <w:t>Die persönliche Situation ist nach dem Ausgeführten nicht geeignet, die aufgrund der allgemeinen Lage in China negative Prognose bezüglich der gesicherten Wiederausreise positiv zu beeinflussen.</w:t>
      </w:r>
    </w:p>
    <w:p>
      <w:r>
        <w:rPr>
          <w:b/>
        </w:rPr>
        <w:t>E. 11</w:t>
      </w:r>
    </w:p>
    <w:p>
      <w:r>
        <w:t>Insgesamt ist somit mit der Vorinstanz davon auszugehen, dass die Wiederausreise der Gesuchstellerin angesichts der allgemeinen Lage in China und ihrer persönlichen Situation nicht als hinreichend gesichert anzusehen ist. Gründe, die es erlauben würden, ein Visum mit räumlich beschränkter Gültigkeit auszustellen (vgl. E. 8) werden vorliegend nicht geltend gemacht und sind auch aus den Akten nicht ersichtlich. Die Beschwerde ist daher abzuweisen.</w:t>
      </w:r>
    </w:p>
    <w:p>
      <w:r>
        <w:rPr>
          <w:b/>
        </w:rPr>
        <w:t>E. 12</w:t>
      </w:r>
    </w:p>
    <w:p>
      <w:r>
        <w:t>Bei diesem Ausgang des Verfahrens sind die Kosten dem Beschwerdeführer aufzuerlegen (vgl. Art. 63. Abs. 1 VwVG i.V.m. Art. 1 und Art. 3 des Reglements vom 21. Februar 2008 über die Kosten und Entschädigungen vor dem Bundesverwaltungsgericht [VGKE,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