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C-7704/2008 vom 14. Mai 2010</w:t>
      </w:r>
    </w:p>
    <w:p>
      <w:r>
        <w:t>Bundesverwaltungsgericht, 2010-05-14, FR</w:t>
      </w:r>
    </w:p>
    <w:p>
      <w:r>
        <w:rPr>
          <w:b/>
        </w:rPr>
        <w:t xml:space="preserve">Quelle: </w:t>
      </w:r>
      <w:r>
        <w:t>https://mcp.opencaselaw.ch/entscheid/bvger_C-7704_2008</w:t>
      </w:r>
    </w:p>
    <w:p>
      <w:r>
        <w:t>FR: TAF C-7704/2008 du 14 mai 2010</w:t>
      </w:r>
    </w:p>
    <w:p>
      <w:r>
        <w:t>IT: TAF C-7704/2008 del 14 maggio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en Suisse prononcées par l'ODM - lequel constitue une unité de l'administration fédérale telle que définie à l'art. 33 let. d LTAF - sont susceptibles de recours au TAF (cf. art. 1 al. 2 LTAF).</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1.4</w:t>
      </w:r>
    </w:p>
    <w:p>
      <w:r>
        <w:t>Le recourant peut invoquer devant le Tribunal la violation du droit fédéral, y compris l'excès et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2</w:t>
      </w:r>
    </w:p>
    <w:p>
      <w:r>
        <w:t>Le recourant invoque une violation du droit d'être entendu. Il reproche à l'autorité inférieure de ne pas lui avoir donné la possibilité de se déterminer avant le prononcé querellé. Pour ce motif, il demande l'annulation de la décision attaquée (cf. mémoire de recours p. 3 par. 2 et p. 6 par. 22).</w:t>
      </w:r>
    </w:p>
    <w:p>
      <w:r>
        <w:rPr>
          <w:b/>
        </w:rPr>
        <w:t>E. 2.1</w:t>
      </w:r>
    </w:p>
    <w:p>
      <w:r>
        <w:t>Le droit d'être entendu, inscrit à l'art. 29 al. 2 de la Constitution fédérale du 18 avril 1999 (Cst.; RS 101), comprend le droit de s'exprimer, le droit de consulter le dossier, le droit de faire administrer des preuves et de participer à l'administration des preuves, le droit d'obtenir une décision motivée et le droit de se faire représenter ou assister (cf. ANDRÉ GRISEL, Traité de droit administratif, Neuchâtel 1984, vol. I et II, p. 380ss et 840ss).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135 I 279 consid. 2.3, ATF 132 II 485 consid. 3, ATF 126 I 7 consid. 2b, ATF 124 II 132 consid. 2b et jurisprudence citée ; ATAF 2007/21 consid. 10.2 ; cf. Jurisprudence des autorités administratives de la Confédération [JAAC] 63.66 consid. 2, 61.50 consid. 4.2.1 ; Semaine Judiciaire [SJ] 23/1998 consid. 2 p. 366s., 25/1998 consid. 3a p. 406, 28/1996 consid. 4a p. 483 ; GRISEL, op. cit., vol. I, p. 380s. ; FRITZ GYGI, Bundesverwaltungsrechtspflege, Berne 1983, p. 69). Il appartient ainsi à l'autorité de recours d'examiner d'office si le droit d'être entendu a été respecté (cf. ALFRED KÖLZ/ISABELLE HÄNER, Verwaltungsverfahren und Verwaltungsrechtspflege des Bundes, 2e éd., Zurich 1998, p. 46). 4</w:t>
      </w:r>
    </w:p>
    <w:p>
      <w:r>
        <w:rPr>
          <w:b/>
        </w:rPr>
        <w:t>E. 2.2</w:t>
      </w:r>
    </w:p>
    <w:p>
      <w:r>
        <w:t>Le droit d'être entendu est de nature formelle. Sa violation entraîne en principe l'annulation de la décision attaquée, indépendamment des chances de succès du recours. Le fait que l'octroi du droit d'être entendu ait pu, dans le cas particulier, être déterminant pour l'examen matériel de la cause, soit que l'autorité ait pu être amenée de ce fait à une appréciation différente des faits pertinents, ne joue pas de rôle (cf. PATRICK SUTTER in : CHRISTOPH AUER/MARKUS MÜLLER/BENJAMIN SCHINDLER, Kommentar zum Bundesgesetz über das Verwaltungsverfahren [VwVG], Zurich/Saint-Gall 2008, ch. 16 ad art. 29 PA ; cf. ANDRÉ MOSER/MICHAEL BEUSCH/LORENZ KNEUBÜHLER, Prozessieren vor dem Bundesverwaltungsgericht, LAUSANNE/ZURICH/ BERNE 2008, page 153, ch. 3.110 ; ATF 127 V 431 consid. 3d/aa ; cf. ATAF 2007/30 consid. 5.5.1 et 2007/27 consid. 10.1 ; cf. JAAC 69.28 consid. 7e).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133 I 201 consid. 2.2 ; 130 II 530 consid. 7.3 ; 127 V 431 consid. 3d/aa ; 126 V 130 consid. 2b).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PATRICK SUTTER, op. cit. ch. 18 ad art. 29 PA ; cf. également MOSER/BEUSCH/KNEUBÜHLER op. cit. p. 154 ch. 3.113 et références citées).</w:t>
      </w:r>
    </w:p>
    <w:p>
      <w:r>
        <w:rPr>
          <w:b/>
        </w:rPr>
        <w:t>E. 2.3</w:t>
      </w:r>
    </w:p>
    <w:p>
      <w:r>
        <w:t>En l'espèce, il apparaît que l'ODM n'a pas informé A._______ qu'il entendait prononcer une mesure d'éloignement à son endroit et ne lui a pas donné l'occasion de se déterminer avant de rendre la décision d'interdiction d'entrée en Suisse du 31 octobre 2008. Or, l'examen détaillé du dossier amène à constater que l'autorité inférieure disposait de l'adresse du recourant, qui se trouvait alors en prison (où lui a d'ailleurs été notifié le prononcé querellé en date du 19 novembre 2008), et que la décision litigieuse ne revêtait au demeurant aucun caractère d'urgence qui aurait habilité l'ODM à renoncer à entendre l'intéressé en application de l'art. 30 al. 2 let. e PA. Semblable manière de procéder n'est pas conforme aux critères définis par la jurisprudence et la doctrine et exposés ci-dessus. En outre, le respect du droit d'être entendu est d'autant plus important en matière d'interdiction d'entrée en Suisse qu'il s'agit là d'une mesure particulièrement incisive, dès lors qu'elle a pour effet d'empêcher son destinataire de pénétrer à nouveau en territoire helvétique pour un laps de temps relativement long (cf. dans ce sens l'arrêt du Tribunal administratif fédéral C-2916/2009 du 20 janvier 2010 consid. 4.2). Au demeurant, A._______ étant de nationalité espagnole, il sied de rappeler ici que le prononcé d'une mesure d'éloignement vis-à-vis d'un ressortissant communautaire impliquait de la part de l'ODM l'examen de l'éventuelle existence d'une menace réelle et actuelle et d'une certaine gravité affectant un intérêt fondamental de la société (cf. arrêt du Tribunal administratif fédéral C-8304/2007 du 2 septembre 2009 consid. 4.3 et jurisprudence citée). En conséquence, c'est à juste titre que le recourant soutient que l'ODM a violé son droit d'être entendu en omettant de lui donner l'occasion de se déterminer avant de rendre la décision attaquée. Ce vice formel, vu sa gravité, ne peut être guéri dans le cadre de la présente procédure de recours, contrairement à l'avis du juge instructeur contenu dans sa décision incidente du 14 janvier 2009, au terme d'un examen prima facie des pièces alors en sa possession. Partant, conformément aux conclusions principales du recours, l'interdiction d'entrée en Suisse prononcée le 31 octobre 2008 est annulée, sans que le TAF n'ait à se déterminer sur le fond de l'affaire.</w:t>
      </w:r>
    </w:p>
    <w:p>
      <w:r>
        <w:rPr>
          <w:b/>
        </w:rPr>
        <w:t>E. 3</w:t>
      </w:r>
    </w:p>
    <w:p>
      <w:r>
        <w:t>Au vu de ce qui précède, le recours doit être admis, la décision querellée annulée et l'affaire renvoyée à l'autorité de première instance afin qu'elle entende le recourant préalablement au prononcé d'une nouvelle décision.</w:t>
      </w:r>
    </w:p>
    <w:p>
      <w:r>
        <w:rPr>
          <w:b/>
        </w:rPr>
        <w:t>E. 4</w:t>
      </w:r>
    </w:p>
    <w:p>
      <w:r>
        <w:t>Compte tenu de l'issue de la cause, il n'est pas perçu de frais de procédure (cf. art. 63 al. 1 [a contrario] à 3 PA). Il convient par ailleurs d'allouer au recourant des dépens pour les frais indispensables et relativement élevés occasionnés par la présente procédure de recours (cf. art. 64 al. 1 PA, en relation avec l'art. 7 al. 1, l'art. 10 et l'art. 14 al. 2 du règlement concernant les frais, dépens et indemnités fixés par le Tribunal administratif fédéral du 21 février 2008 [FITAF, RS 173.320.2]). En l'absence de décompte de prestations, le Tribunal fixe l'indemnité sur la base du dossier (cf. art. 14 al. 1 et 2 FITAF). Au vu de l'ensemble des circonstances du cas, de l'importance de l'affaire, du degré de difficulté de cette dernière et de l'ampleur du travail accompli par la mandataire (alors avocate-stagiaire dont les écritures se sont limitées à un recours de sept pages et à une brève lettre, et qui connaissait le dossier pénal du recourant dont elle a défendu la cause devant la Cour correctionnelle quelques mois plus tôt), le Tribunal estime, au regard des art. 8 ss FITAF, que le versement d'un montant global de Fr. 1000.- à titre de dépens (TVA comprise) au recourant apparaît comme équitable en la présente cause. Eu égard à ce qui précède, la demande d'assistance judiciaire, formulée le 3 janvier 2009 par le recourant et le 7 janvier 2009 par sa mandataire, devient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