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C-767/2019 vom 28. Juni 2017</w:t>
      </w:r>
    </w:p>
    <w:p>
      <w:r>
        <w:t>Bundesverwaltungsgericht, 2017-06-28, FR</w:t>
      </w:r>
    </w:p>
    <w:p>
      <w:r>
        <w:rPr>
          <w:b/>
        </w:rPr>
        <w:t xml:space="preserve">Quelle: </w:t>
      </w:r>
      <w:r>
        <w:t>https://mcp.opencaselaw.ch/entscheid/bvger_C-767_2019</w:t>
      </w:r>
    </w:p>
    <w:p>
      <w:r>
        <w:t>FR: TAF C-767/2019 du 28 juin 2017</w:t>
      </w:r>
    </w:p>
    <w:p>
      <w:r>
        <w:t>IT: TAF C-767/2019 del 28 giugno 2017</w:t>
      </w:r>
    </w:p>
    <w:p>
      <w:pPr>
        <w:pStyle w:val="Heading2"/>
      </w:pPr>
      <w:r>
        <w:t>Regeste</w:t>
      </w:r>
    </w:p>
    <w:p>
      <w:r>
        <w:t>Assurance facultative</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Des copies des courriers de la CSC des 8 et 9 août 2019, y compris des annexes, et de la décision sur opposition de la CSC du 9 août 2019 sont transmises à la recourante, pour information.</w:t>
      </w:r>
    </w:p>
    <w:p>
      <w:r>
        <w:rPr>
          <w:b/>
        </w:rPr>
        <w:t>E. 4</w:t>
      </w:r>
    </w:p>
    <w:p>
      <w:r>
        <w:t>La présente décision est adressée : - à la recourante (Notification par le biais de l'Ambassade de Suisse en Argentine ; annexes : copies des courriers de la CSC des 8 et 9 août 2019, y compris des annexes, et de la décision sur opposition de la CSC du 9 août 2019) - à l'autorité inférieure (n° de réf. [...] ; Recommandé) - à l'Office fédéral des assurances sociales (Recommandé) - à l'Ambassade de Suisse en Argentine pour transmission de la présente décision et des annexes à la recourante Le juge unique : La greffière : Beat Weber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