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C-7677/2010 vom 8. Januar 2013</w:t>
      </w:r>
    </w:p>
    <w:p>
      <w:r>
        <w:t>Bundesverwaltungsgericht, 2013-01-08, DE</w:t>
      </w:r>
    </w:p>
    <w:p>
      <w:r>
        <w:rPr>
          <w:b/>
        </w:rPr>
        <w:t xml:space="preserve">Quelle: </w:t>
      </w:r>
      <w:r>
        <w:t>https://mcp.opencaselaw.ch/entscheid/bvger_C-7677_2010</w:t>
      </w:r>
    </w:p>
    <w:p>
      <w:r>
        <w:t>FR: TAF C-7677/2010 du 8 janvier 2013</w:t>
      </w:r>
    </w:p>
    <w:p>
      <w:r>
        <w:t>IT: TAF C-7677/2010 del 8 gennaio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frist- und formgerecht eingereichte Be­schwerde ist somit einzutreten (Art. 49 ff.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In seiner letzten Eingabe vom 14. September 2012 lässt der Beschwerdeführer beiläufig rügen, es sei ihm bei der Verhängung des Einreiseverbots das rechtliche Gehör nicht gewährt worden.</w:t>
      </w:r>
    </w:p>
    <w:p>
      <w:r>
        <w:rPr>
          <w:b/>
        </w:rPr>
        <w:t>E. 3.2</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Aus den Vorakten ergibt sich, dass das Amt für öffentliche Sicherheit des Kantons Solothurn dem Beschwerdeführer anlässlich einer Einvernahme am 29. September 2010 die Möglichkeit einräumte, sich zu einer allfällig über ihn zu verhängenden Fernhaltemassnahme zu äussern. Der Beschwerdeführer machte von dieser Möglichkeit Gebrauch und gab dabei unterschriftlich zu Protokoll, dass er kein Einreiseverbot möchte und auch inskünftig in der Schweiz verbleiben wolle. Das Protokoll wurde von der kantonalen Migrationsbehörde an die Vorinstanz weitergeleitet. Die Rüge einer Verletzung des rechtlichen Gehörs erweist sich somit als unbegründet.</w:t>
      </w:r>
    </w:p>
    <w:p>
      <w:r>
        <w:rPr>
          <w:b/>
        </w:rPr>
        <w:t>E. 4.1</w:t>
      </w:r>
    </w:p>
    <w:p>
      <w:r>
        <w:t>Das Einreiseverbot ist in Art. 67 des Bundesgesetzes vom 16. De­zem­ber 2005 über die Ausländerinnen und Ausländer (AuG, SR 142.20) geregelt. Die angefochtene Verfügung datiert vom 29. September 2010. Auf den 1. Januar 2011 trat als Folge der Weiterentwicklung des Schengen-Besitz­standes eine neue Fassung von Art. 67 in Kraft (zum Ganzen vgl. BBl 2009 S. 8881 und AS 2010 S. 5925). Nach Art. 67 Abs. 1 AuG wird ein Einreiseverbot vom BFM -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Die Vorinstanz stützte das Einreiseverbot vorab auf Art. 67 Abs. 1 Bst. a AuG in der Fassung vom 1. Januar 2008 (AS 2007 5457). Dieser Fernhaltegrund der Gefährdung oder Verletzung der öffentlichen Sicherheit und Ordnung wurde in Art. 67 Abs. 2 Bst. a AuG vom 1. Januar 2011 unverändert übernommen; diesbezüglich kann auf das neue Recht abge­stellt werden. Gleich verhält es sich mit dem von der Vorinstanz ebenfalls angerufenen Fernhaltegrund der Vorbereitungs-, Ausschaffungs- oder Durchsetzungshaft. Auch dieser altrechtliche Fernhaltegrund (Art. 67 Abs. 1 Bst. d AuG in der Fassung vom 1. Januar 2008) wurde in Art. 67 Abs. 2 Bst. c weitgehend übernommen. Was schliesslich den (von der Vorin­stanz angezogenen) altrechtlichen Fernhaltegrund der Ausschaffung (Art. 67 Abs. 1 Bst. c AuG in der Fassung vom 1. Januar 2008) betrifft, so wurde dieser im Zuge der Gesetzesrevision zwar gestrichen, allerdings mit der Begründung, es müsse in solchen Fällen künftig gestützt auf den neuen Art. 67 Abs. 1 AuG grundsätzlich immer ein Einreiseverbot verhängt werden (BBl 2009 S. 8896 ad Art. 67 Abs. 2 in fine). Der neue Art. 67 Abs. 1 Bst. b AuG ist demnach anwendbar, wobei aufgrund des Rückwirkungsverbots die erst nach Erlass der angefochtenen Verfügung ins Gesetz aufgenommene starke Einschränkung des Entschliessungs­ermessens nicht vorzunehmen ist (vgl. BBl 2009 S. 8896 ad Art. 67 Abs. 1 AuG).</w:t>
      </w:r>
    </w:p>
    <w:p>
      <w:r>
        <w:rPr>
          <w:b/>
        </w:rPr>
        <w:t>E. 5.1</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5.2</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Verbrechen und Vergehen fallen grundsätzlich unter diese Begriffs­be­stimmung und können als solche ein Einreiseverbot nach sich ziehen (vgl. BBl 2002 3813).</w:t>
      </w:r>
    </w:p>
    <w:p>
      <w:r>
        <w:rPr>
          <w:b/>
        </w:rPr>
        <w:t>E. 6</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7.1</w:t>
      </w:r>
    </w:p>
    <w:p>
      <w:r>
        <w:t>Mit Strafbefehl der Staatsanwaltschaft Basel-Landschaft, Hauptabteilung Liestal vom 22. August 2012 wurde der Beschwerdeführer der Gehilfenschaft zu Diebstahl, zu Sachbeschädigung und zu Hausfriedensbruch sowie der Widerhandlung gegen das Bundesgesetz über Waffen, Waffenzubehör und Munition schuldig erklärt und zu einer bedingt vollziehbaren Freiheitsstrafe von 6 Monaten - bei einer Probezeit von 3 Jahren - verurteilt. Mit einer Delin­quenz dieser Art hat sich der Fernhaltegrund einer Verletzung der öf­fentlichen Sicherheit und Ordnung gemäss Art. 67 Abs. 2 Bst. a AuG ohne weiteres verwirklicht. Tritt hinzu, dass der Beschwerdeführer nach Entlassung aus der Untersuchungshaft am 27. September 2010 der kantonalen Migrationsbehörde übergeben, von dieser in Aus­schaffungshaft versetzt und am 30. September 2010 aus der Schweiz ausgeschafft wurde. Damit wurde auch ein Fernhaltegrund im Sinne von Art. 67 Abs. 2 Bst. c AuG gesetzt. Nicht erfüllt hingegen wäre ein Tatbestand nach Art. 67 Abs. 1 Bst. a oder Bst. b AuG, wurde dem Beschwerdeführer doch von der zuständigen Behörde eine angemessene Ausreisefrist eingeräumt, die er schon deshalb nicht wahrnehmen konnte, weil er sich anschliessend in Untersuchungshaft befand.</w:t>
      </w:r>
    </w:p>
    <w:p>
      <w:r>
        <w:rPr>
          <w:b/>
        </w:rPr>
        <w:t>E. 7.2</w:t>
      </w:r>
    </w:p>
    <w:p>
      <w:r>
        <w:t>Dass der Beschwerdeführer den Strafbefehl der Staatsanwaltschaft Basel-Landschaft, Hauptabteilung Liestal vom 22. August 2012 angefochten haben will, tut nichts zur Sache. Denn den Sachverhalt, wie er dem Urteil zugrunde gelegt wurde, scheint er nicht ernsthaft in Frage stellen zu wollen. Thema seiner Einsprache ist offenbar nur das ausgefällte Strafmass. Tritt hinzu, dass eine administrative Fernhaltemassnahme nicht an die Erfüllung einer Strafnorm, sondern an das Vorliegen einer Polizeigefahr anknüpft. Ob eine solche besteht und gegebenenfalls wie sie zu gewichten ist, hat die Behörde in eigener Kompetenz unter Zugrundelegung spezifisch ausländerrechtlicher Kriterien zu beurteilen (vgl. dazu statt vieler: Urteil des Bundes­verwal­tungsgerichts C-8374/2007 vom 21. Januar 2009, E.6.1).</w:t>
      </w:r>
    </w:p>
    <w:p>
      <w:r>
        <w:rPr>
          <w:b/>
        </w:rPr>
        <w:t>E. 8.1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überarbeitete Aufl., Zürich und St. Gallen 2010, S. 133 f.).</w:t>
      </w:r>
    </w:p>
    <w:p>
      <w:r>
        <w:rPr>
          <w:b/>
        </w:rPr>
        <w:t>E. 8.2.1</w:t>
      </w:r>
    </w:p>
    <w:p>
      <w:r>
        <w:t>Das öffentliche Interesse an einer Fernhaltung des Beschwerde­füh­rers ist schon aus objektiver, präventiv-polizeilicher Sicht als gewichtig einzu­stufen. Ausländische Personen, die sich während ihrer Anwesenheit in der Schweiz der Verbrechen oder Vergehen gegen das Vermögen bzw. der Widerhandlungen gegen einschlägige Bestimmungen des Waffengesetzes schuldig machen, sind nach Möglichkeit von der Schweiz fernzuhalten. Es gilt durch eine kontinuierliche und konsequente Verwaltungspraxis zu verdeutlichen, dass solche Delinquenz zum Schutz der öffentlichen Sicherheit und Ordnung Fernhaltemassnahmen zur Folge haben kann.</w:t>
      </w:r>
    </w:p>
    <w:p>
      <w:r>
        <w:rPr>
          <w:b/>
        </w:rPr>
        <w:t>E. 8.2.2</w:t>
      </w:r>
    </w:p>
    <w:p>
      <w:r>
        <w:t>In subjektiver Hinsicht wiegt das dem Beschwerdeführer vorgehal­tene, massnahmeauslösende Fehlverhalten entgegen seiner eigenen Einschätzung nicht leicht. Aus dem mehrfach erwähnten Strafbefehl vom 22. August 2012 zu schliessen, hatte er am Abend des 5. Juni 2010 mehrere ihm bekannte Personen auf deren Bitte hin mit seinem Auto transportiert, sie am gewünschten Zielort abgesetzt, sich danach weisungsgemäss mit dem Auto vorübergehend entfernt, um sich dann auf telefonische Aufforderung hin wieder vor Ort zu begeben und seine Passagiere abzuholen. Daraufhin begab man sich gemeinsam in seine Wohnung, wo ihm ein Teil des soeben erbeuteten umfangreichen Diebesgutes (Uhren, Schmuck und Waffen im Gesamtwert von über 160'000 Franken) gezeigt wurde. Am nächsten Tag erhielt er (als Entgelt für seine Dienste) Teile des Schmucks, mehrere Uhren und einen Revolver ausgehändigt. Letzteren bewahrte er zunächst während dreier Tage in seiner Wohnung auf, um ihn dann im benachbarten Wald zu verstecken. Tritt hinzu, dass die vorerwähnten Straftaten des Beschwerdeführers in die mit Strafbefehl des Bezirksstatthalteramts Sissach vom 7. Januar 2009 ausgefällte Probezeit fielen. Nur weil es sich beim jüngsten Vorfall nicht um ein gegenüber dem früheren einschlägiges Delikt handelte, wurde von der Ausfällung einer unbedingten Strafe abgesehen, die Probezeit allerdings auf drei Jahre festgesetzt und diejenige der Vorstrafe um ein Jahr verlängert. Dass der Beschwerdeführer im fraglichen Zeitraum enge Beziehungen zu einem kriminogenen Umfeld pflegte, ergibt sich ohne weiteres aus dem von ihm selbst eingereichten polizeilichen Ermittlungsbericht vom 29. September 2010. Darin wird unter anderem ausgeführt, dass der Beschwerdeführer über seine Rufnummern oft in Kontakt mit sog. Prepaid-Nummern stand, die bei Hausdurchsuchungen aufgefunden wurden und niemandem zugeordnet werden konnten, weil sie auf fiktive Namen eingelöst worden waren. Ferner wurde anhand der Standorte seiner Mobil-Telefone und eines von den Tätern benutzten Fahrzeuges festgestellt, dass er sich mit seinen Begleitern nächtelang und scheinbar ziellos durch zahlreiche Gemeinden und Wohnquartiere bewegt hatte. Die Darstellung der Ereignisse durch den Beschwerdeführer in seiner Rechtsschrift lassen zum einen eine Einsicht in die Problematik seines Tuns weitgehend vermissen und andererseits auch nicht erkennen, dass er sich im Nachhinein von seinem kriminogenen Umfeld distanzieren würde. Unklar bleibt auch, was der Beschwerdeführer mit der ihm von seinen Begleitern überlassenen Waffe vorhatte. In Anbetracht der aufgezeigten Verhältnisse kann eine aktuelle erhebliche Gefährdung der öffentlichen Sicherheit und Ordnung durch den Beschwerdeführer nicht ernsthaft in Frage gestellt werden. Schliesslich gilt zu berücksichtigen, dass der Beschwerdeführer nach seiner Entlassung aus der Untersuchungshaft von der Strafermittlungs- an die Ausländerbehörde übergeben und von letzterer zur Sicherstellung des Wegweisungsvollzugs in Ausschaffungshaft genommen wurde. Die Ausreisefrist war inzwischen abgelaufen und der Beschwerdeführer hatte anlässlich seiner Festnahme am 7. Juli 2010 die Absicht geäussert, eine in der Schweiz niedergelassene tschechische Staatsangehörige zu heiraten und anschliessend hier zu bleiben.</w:t>
      </w:r>
    </w:p>
    <w:p>
      <w:r>
        <w:rPr>
          <w:b/>
        </w:rPr>
        <w:t>E. 8.2.3</w:t>
      </w:r>
    </w:p>
    <w:p>
      <w:r>
        <w:t>Vor dem Hintergrund der vorstehenden Ausführungen ist das von der Vorinstanz angenommene erhebliche Interesse an einer befristeten Fernhaltung des Beschwerdeführers zu bestätigen.</w:t>
      </w:r>
    </w:p>
    <w:p>
      <w:r>
        <w:rPr>
          <w:b/>
        </w:rPr>
        <w:t>E. 8.3.1</w:t>
      </w:r>
    </w:p>
    <w:p>
      <w:r>
        <w:t>Unter dem Aspekt entgegenstehender persönlicher Interessen daran, nicht mit einer Fernhaltemass­nahme belegt zu werden, lässt der Beschwerdeführer vorbringen, dass ein grosser Teil seiner Verwandtschaft in Italien wohne. Aufgrund des Einreiseverbots - welches infolge des Eintrages im Schengener Informationssystem (SIS) für das ganze Gebiet des Schengen-Raums Rechtswirkung zeitigt - werde ihm die Pflege von Kontakten zu diesen Verwandten verwehrt. Überdies müsse berücksichtigt werden, dass er in der Zwischenzeit am 8. September 2011 in Albanien eine Schweizer Staatsangehörige geheiratet habe.</w:t>
      </w:r>
    </w:p>
    <w:p>
      <w:r>
        <w:rPr>
          <w:b/>
        </w:rPr>
        <w:t>E. 8.3.2</w:t>
      </w:r>
    </w:p>
    <w:p>
      <w:r>
        <w:t>Was die Heirat betrifft, so belässt es der Beschwerdeführer bei einem blossen Hinweis, ohne Absichten über die Planung seines künftigen Lebensmittelpunktes bekannt zu geben. Immerhin handelt es sich bei seiner aktuellen Ehegattin um eine Frau kosovarischer Herkunft. Sollten die Ehegatten eine gemeinsame Wohnsitznahme in der Schweiz anstreben, so wäre ihnen unbenommen, ein entsprechendes Aufenthaltsbewilligungsverfahren für den Beschwerdeführer einzuleiten; dies unbesehen eines bestehenden Einreiseverbots.</w:t>
      </w:r>
    </w:p>
    <w:p>
      <w:r>
        <w:rPr>
          <w:b/>
        </w:rPr>
        <w:t>E. 8.3.3</w:t>
      </w:r>
    </w:p>
    <w:p>
      <w:r>
        <w:t>In Bezug auf die vom Beschwerdeführer gerügte Beeinträchtigung persönlicher Kontakte zu Verwandten in Italien kann auf die Erwägungen unter Ziff. 6 vorstehend verwiesen werden. Er übersieht, dass ein ausgeschriebenes Einreiseverbot zwar die Ausstellung eines vollgültigen Schengen-Visums, nicht aber diejenige eines nationalen Visums mit räumlich beschränkter Gültigkeit ausschliesst. Der Beschwerdeführer begründet im Übrigen nicht weiter, weshalb die Wahrung solcher Kontakte nur durch Einreisen nach Italien möglich sein sollte.</w:t>
      </w:r>
    </w:p>
    <w:p>
      <w:r>
        <w:rPr>
          <w:b/>
        </w:rPr>
        <w:t>E. 9</w:t>
      </w:r>
    </w:p>
    <w:p>
      <w:r>
        <w:t>Eine wertende Gewichtung der sich gegenüberstehenden Interessen führt das Bundesverwaltungsgericht zum Schluss, dass die verhängte Fernhaltemassnahme sowohl von ihrem Grundsatz her wie auch in der ausgesprochenen Dauer eine verhältnismässige und angemessene Massnahme zum Schutze der öffentlichen Sicherheit und Ordnung darstellt.</w:t>
      </w:r>
    </w:p>
    <w:p>
      <w:r>
        <w:rPr>
          <w:b/>
        </w:rPr>
        <w:t>E. 10</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11</w:t>
      </w:r>
    </w:p>
    <w:p>
      <w:r>
        <w:t>Entsprechend dem Ausgang des Verfahrens hat der Beschwerdeführer die Kosten zu tragen (Art. 63 Abs. 1 VwVG i.V.m.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