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C-766/2012 vom 19. Juni 2012</w:t>
      </w:r>
    </w:p>
    <w:p>
      <w:r>
        <w:t>Bundesverwaltungsgericht, 2012-06-19, FR</w:t>
      </w:r>
    </w:p>
    <w:p>
      <w:r>
        <w:rPr>
          <w:b/>
        </w:rPr>
        <w:t xml:space="preserve">Quelle: </w:t>
      </w:r>
      <w:r>
        <w:t>https://mcp.opencaselaw.ch/entscheid/bvger_C-766_2012</w:t>
      </w:r>
    </w:p>
    <w:p>
      <w:r>
        <w:t>FR: TAF C-766/2012 du 19 juin 2012</w:t>
      </w:r>
    </w:p>
    <w:p>
      <w:r>
        <w:t>IT: TAF C-766/2012 del 19 giugno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les arrêts du Tribunal administratif fédéral C-8125/2010 du 21 juin 2011 consid. 4.1 et C-8610/2010 du 24 mai 2011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 3531 ; voir également l'ATF 135 II 1 consid. 1.1 et l'ATAF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intégralement pour traiter le cas d'espèce (sur les détails de cette problématique, cf. ATAF 2009/27 précité, consid. 5.2 et 5.3).</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sa nationalité péruvienne, B._______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lorsqu'elle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(sur les points qui précèdent, voir notamment les arrêts du Tribunal administratif fédéral C-8125/2010 précité, consid. 5.2, et C-8610/2010 précité, consid. 7).</w:t>
      </w:r>
    </w:p>
    <w:p>
      <w:r>
        <w:rPr>
          <w:b/>
        </w:rPr>
        <w:t>E. 6.4</w:t>
      </w:r>
    </w:p>
    <w:p>
      <w:r>
        <w:t>In casu, compte tenu de la situation socio-économique prévalant au Pérou, le Tribunal ne saurait d'emblée écarter les craintes émises par l'ODM quant à une éventuelle prolongation du séjour de l'invité au-delà de la durée de validité du visa sollicité. A ce sujet, doivent être prises en considération la qualité de vie et les conditions économiques particulières que connaît la population du Pérou, pays où, en 2010, le produit intérieur brut (PIB) par habitant s'élevait à USD 9'110.-, soit à un niveau sensiblement inférieur à celui de la Suisse. La politique menée ces dernières années a toutefois permis à ce pays, au niveau macro-économique, d'obtenir la croissance la plus élevée d'Amérique latine en 2008 (9,8%) et de bien résister à la crise de 2009, affichant une croissance de 0,9% pour cette période et de 8,9% en 2010. Ollanta Humala Tasso, l'actuel président, qui n'entend pas remettre profondément en question le système de croissance péruvien, souhaite mettre l'accent sur la cohésion sociale, la lutte contre la pauvreté, le narcotrafic et la corruption (voir en ce sens le site internet du Ministère français des affaires étrangères : www.diplomatie.gouv.fr &gt; Pays-Zones géo &gt; Pérou &gt; Présentation du Pérou, mis à jour en janvier 2012, consulté le 8 mai 2012). Malgré un taux de croissance enviable, les problèmes sociaux restent importants. En effet, le taux de chômage s'élevait à 8,6% en 2010, l'emploi informel est estimé à 60% de la population active et la pauvreté touche 34 % de la population et 70% de la population d'origine indienne (voir en ce sens le site internet du Ministère français des affaires étrangères précité). Pour l'année 2011, l'indice de développement humain (IDH), qui prend en compte la santé, l'éducation et le revenu des personnes, classe le Pérou en 80ème position sur 169 pays, et la Suisse en 11ème position (voir respectivement le site internet du Programme des Nations Unis pour le développement [PNUD] : www.hdr.undp.org &gt; Pays &gt; Pérou, consulté le 8 mai 2012 ; www.hdr.undp.org &gt; Pays &gt; Suisse, consulté le 8 mai 2012). Ces conditions de vie peu 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w:t>
      </w:r>
    </w:p>
    <w:p>
      <w:r>
        <w:rPr>
          <w:b/>
        </w:rPr>
        <w:t>E. 6.5</w:t>
      </w:r>
    </w:p>
    <w:p>
      <w:r>
        <w:t>Cela étant, l'autorité ne saurait se fonder sur la seule situation prévalant dans le pays de provenance de l'étranger pour conclure à l'absence de garantie quant à sa sortie de Suisse, mais doit également prendre en considération les particularités du cas d'espèce (cf. ATAF 2009/27 précité, consid. 7 et 8). Il convient dès lors d'examiner si la situation personnelle, familiale, patrimoniale et professionnelle de B._______ plaide en faveur de sa sortie ponctuelle de Suisse, respectivement de l'Espace Schengen, au terme du séjour envisagé.</w:t>
      </w:r>
    </w:p>
    <w:p>
      <w:r>
        <w:rPr>
          <w:b/>
        </w:rPr>
        <w:t>E. 7.1</w:t>
      </w:r>
    </w:p>
    <w:p>
      <w:r>
        <w:t>En l'occurrence, il ressort du dossier que B._______, âgé de 40 ans, vit au Pérou. Il travaille en qualité de professeur auprès d'une institution privée d'enseignement avec laquelle il a conclu, le 7 mars 2012, un contrat de travail de durée déterminée jusqu'au 30 décembre 2012 (cf. contrat de travail produit en annexe à la réplique du 3 mai 2012). Il perçoit à ce titre un salaire mensuel brut de 410 soles (soit 144 francs). A côté de cette activité, l'intéressé oeuvre à son compte comme photographe, activité générant un revenu mensuel complémentaire d'environ 633 soles (soit 220 francs ; le calcul a été le suivant : honoraires facturés entre le 28 décembre 2011 et le 24 mars 2012 [cf. pièces produites en annexe à la réplique du 3 mai 2012], soit 1'900 soles, divisés par trois mois). En outre, il affirme jouer de la guitare au sein d'un groupe de musiciens, ce qui lui permet d'ajouter "entre 250 et 300 soles les fins de semaine". Sur le plan personnel, l'invité vit avec sa compagne, E._______, et leur enfant commun, F._______ (cf. attestation datée du 3 mai 2012). Quant au but du séjour de deux mois en Suisse (entre le 20 décembre 2012 et février 2013 [cf. mémoire de recours, p. 2]), il est principalement de nature familiale, B._______ souhaitant maintenir des contacts avec sa soeur, C._______, son beau-frère, A._______, et leur fille, D._______, et avec la famille de celle-ci.</w:t>
      </w:r>
    </w:p>
    <w:p>
      <w:r>
        <w:rPr>
          <w:b/>
        </w:rPr>
        <w:t>E. 7.2</w:t>
      </w:r>
    </w:p>
    <w:p>
      <w:r>
        <w:t>A l'examen des faits, le Tribunal partage l'analyse faite par l'autorité de première instance dans sa décision du 6 janvier 2012. On ne saurait en effet considérer le retour de B._______ au Pérou à l'issue de son séjour en Suisse comme étant suffisamment assuré, quand bien même le prénommé dispose d'attaches familiales dans son pays d'origine - une compagne et un fils notamment - lesquelles peuvent, dans une certaine mesure, l'inciter à retourner dans sa patrie au terme du séjour envisagé en Suisse. L'invité déclare souhaiter venir en Suisse pour deux mois à compter du 20 décembre 2012 (cf. mémoire de recours, p. 2), soit dix jours avant l'échéance de son contrat de travail. Le Tribunal constate ainsi qu'à partir du 31 décembre 2012, l'intéressé ne sera professionnellement lié par aucun contrat, si bien que, de ce point de vue, il serait parfaitement à même de se créer une nouvelle existence hors de sa patrie, sans que cela entraîne pour lui des difficultés majeures sur le plan professionnel, les deux autres activités exercées l'étant de manière indépendante. Les doutes de l'autorité de céans quant à la volonté réelle de B._______ sont encore renforcées, d'une part, par la durée du séjour projeté, soixante jours, peu compatible avec la vie de famille qu'il prétend mener, et, d'autre part, par le passé récent de B._______. Sur ce dernier point, il sied de souligner que le prénommé a passé deux longues périodes en Europe, l'une en Suisse entre 2004 et 2006 (au bénéfice d'un permis de séjour pour études), l'autre dans l'Espace Schengen, entre 2006 et 2008, où il a vécu, sans pouvoir aujourd'hui produire un justificatif quant à la légalité de ce séjour entre la France, l'Espagne et les Pays-Bas (cf. réplique du 3 mai 2012, p. 2). Ces faits ne sont pas de nature à convaincre le Tribunal de la volonté de l'invité de retourner au Pérou à l'échéance du visa sollicité et ne plaident en conséquence pas en faveur de l'octroi d'un visa, pas plus que l'interdiction d'entrée prononcée le 11 juin 1996 pour avoir pénétré illégalement sur le sol suisse. Finalement, le fait que tant B._______ que plusieurs membres de sa famille aient déjà obtenu, par le passé, un visa pour séjourner en Suisse - l'invité s'est vu octroyer une autorisation d'entrée à deux reprises, en 1999 et 2001 - n'a pas d'influence sur le sort du cas d'espèce, chaque demande faisant l'objet d'une analyse individuelle et actualisée (cf. arrêts du Tribunal administratif fédéral C-853/2010 du 12 juillet 2010 consid. 7.4 et la jurisprudence citée, et C-2827/2011 du 14 novembre 2011, consid. 11) au terme de laquelle l'autorité doit évaluer le risque que le requérant ne respecte pas la durée maximale du visa et prolonge, plus ou moins longtemps, son séjour dans l'Espace Schengen.</w:t>
      </w:r>
    </w:p>
    <w:p>
      <w:r>
        <w:rPr>
          <w:b/>
        </w:rPr>
        <w:t>E. 7.3</w:t>
      </w:r>
    </w:p>
    <w:p>
      <w:r>
        <w:t>Ainsi, sans minimiser les motivations d'ordre affectif de la demande de visa, le Tribunal ne saurait admettre, au vu de l'ensemble des éléments du dossier, que le retour de l'intéressé au Pérou au terme de l'autorisation demandée puisse être considéré comme suffisamment garanti.</w:t>
      </w:r>
    </w:p>
    <w:p>
      <w:r>
        <w:rPr>
          <w:b/>
        </w:rPr>
        <w:t>E. 8</w:t>
      </w:r>
    </w:p>
    <w:p>
      <w:r>
        <w:t>Par ailleurs, le recourant n'a pas invoqué de raisons susceptibles de justifier la délivrance d'un visa à validité territoriale limitée (cf. ci-dessus, consid. 4.3).</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 ressortissant étranger qui le sollicite. Cependant, lesdites assurances ne peuvent être tenues pour décisives, dans la mesure où elles n'engagent pas le requérant lui-même - celui-ci conservant seul la maîtrise de son comportement - et ne permettent nullement d'exclure l'éventualité que l'intéressé, une fois en Suisse, ne tente d'y poursuivre provisoirement ou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Au demeurant, le refus d'autorisation d'entrée prononcé par les autorités helvétiques n'a en définitive pas pour conséquence d'empêcher l'invité de maintenir des liens avec sa soeur et avec la famille de celle-ci en Suisse, les intéressés pouvant tout aussi bien se rencontrer hors de Suisse, notamment au Pérou, nonobstant les inconvénients d'ordre pratique ou de convenance personnelle que cela pourrait engendrer.</w:t>
      </w:r>
    </w:p>
    <w:p>
      <w:r>
        <w:rPr>
          <w:b/>
        </w:rPr>
        <w:t>E. 11</w:t>
      </w:r>
    </w:p>
    <w:p>
      <w:r>
        <w:t>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6 janvier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