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C-7668/2007 vom 3. April 2009</w:t>
      </w:r>
    </w:p>
    <w:p>
      <w:r>
        <w:t>Bundesverwaltungsgericht, 2009-04-03, DE</w:t>
      </w:r>
    </w:p>
    <w:p>
      <w:r>
        <w:rPr>
          <w:b/>
        </w:rPr>
        <w:t xml:space="preserve">Quelle: </w:t>
      </w:r>
      <w:r>
        <w:t>https://mcp.opencaselaw.ch/entscheid/bvger_C-7668_2007</w:t>
      </w:r>
    </w:p>
    <w:p>
      <w:r>
        <w:t>FR: TAF C-7668/2007 du 3 avril 2009</w:t>
      </w:r>
    </w:p>
    <w:p>
      <w:r>
        <w:t>IT: TAF C-7668/2007 del 3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Thailand unterliegt die Gesuchstellerin damit der Visumspflicht.</w:t>
      </w:r>
    </w:p>
    <w:p>
      <w:r>
        <w:rPr>
          <w:b/>
        </w:rPr>
        <w:t>E. 7</w:t>
      </w:r>
    </w:p>
    <w:p>
      <w:r>
        <w:t>Die Wirtschaft Thailands hat sich nach der Asienkrise von 1997 überraschend schnell erholt und verzeichnet seit 2002 wieder gute Wachstumswerte. Im Jahr 2007 lag die Steigerungsrate bei robusten 4,8% (vgl. Website des Auswärtigen Amtes, Länder- und Reiseinformationen &gt; Thailand &gt; Wirtschaft, &lt;http://www.auswaertiges-amt.de&gt;, Stand: Juni 2008, besucht im März 2009). Die ermutigende Entwicklung der letzten Jahre kann jedoch nicht über die Tatsache hinwegtäuschen, dass nach wie vor eine breite Bevölkerungsschicht von vergleichsweise schwierigen ökonomischen und sozialen Lebensbedingungen betroffen ist. Das Bruttoinlandprodukt pro Kopf der Bevölkerung betrug im Jahr 2007 nur gerade 3'737 USD, im Jahr 2008 schätzungsweise 4'102 USD (vgl. Website des Staatssekretariats für Wirtschaft (SECO), Themen &gt; Aussenwirtschaft &gt; Länderinformationen &gt; Asien/Ozeanien &gt; Thailand, &lt;http://www.seco.admin.ch&gt;, Stand Juni 2008, besucht im März 2009).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Angesichts der geschilderten Situation ist nicht zu beanstanden, wenn die Vorinstanz das Risiko einer nicht fristgerechten Wiederausreise von Besuchern aus Thailand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8.1</w:t>
      </w:r>
    </w:p>
    <w:p>
      <w:r>
        <w:t>Angaben der Beschwerdeführerin zufolge handelt es sich bei der 24-jährigen Gesuchstellerin um die Tochter eines ihrer thailändischen Geschäftspartner, mit der angeblich geschäftliche Besprechungen stattfinden sollen. Abgesehen davon, dass X._______ in ihrem Visumsantrag "business travel" als Zweck ihres Besuchs angegeben hat, spricht jedoch nichts dafür, dass dies der wirkliche Grund für eine Einreise sein könnte. Vielmehr deuten die übrigen Umstände ihres Einreisegesuchs darauf hin, dass dem geplanten Aufenthalt in der Schweiz völlig andere Motive zugrunde liegen.</w:t>
      </w:r>
    </w:p>
    <w:p>
      <w:r>
        <w:rPr>
          <w:b/>
        </w:rPr>
        <w:t>E. 8.2</w:t>
      </w:r>
    </w:p>
    <w:p>
      <w:r>
        <w:t>Dabei fällt zunächst ins Auge, dass ein dreimonatiger Aufenthalt absolut nicht notwendig erscheint, wenn es lediglich darum geht, der Beschwerdeführerin neue Lebensmittelprodukte vorzustellen. Zudem erwecken die beidseitigen Angaben den Anschein, als würden sich Gastgeberin und Gast persönlich gar nicht kennen; erst recht erscheint damit eine derart lange Besuchsdauer unangemessen. Im schriftlichen Visumsantrag hat die Gesuchstellerin ihre berufliche Tätigkeit als Praktikum (internship) bezeichnet; ihre beiden privaten Mail-Adressen lauten gruenesgemüse@gmail.com und supergift@hotmail.com. Persönlich hat sie ihr Einreisegesuch bei der Schweizerischen Vertretung damit begründet, dass sie im Lebensmittelgeschäft der Beschwerdeführerin die Kundschaft beobachten wolle, um deren Kaufverhalten kennenzulernen, dass sie dort aber keineswegs arbeiten wolle (vgl. das in den BFM-Akten befindliche Schreiben der Schweizerischen Botschaft in Bangkok vom 30. August 2007). Die Vertretung hat aufgrund dieser Angaben die Befürchtung geäussert, dass die über nur wenig englische Sprachkenntnisse verfügende Gesuchstellerin beabsichtigen könnte, in der Schweiz einer illegalen Erwerbstätigkeit - genauer gesagt der Prostitution - nachzugehen.</w:t>
      </w:r>
    </w:p>
    <w:p>
      <w:r>
        <w:rPr>
          <w:b/>
        </w:rPr>
        <w:t>E. 8.3</w:t>
      </w:r>
    </w:p>
    <w:p>
      <w:r>
        <w:t>Vor dem geschilderten Hintergrund ist der von Gastgeberin und Gast angebene Besuchszweck stark in Frage zu stellen, zumal die Beschwerdeführerin zur in der vorinstanzlichen Vernehmlassung geäusserten Vermutung der beabsichtigten Schwarzarbeit nicht mehr Stellung bezogen hat. Gleichzeitig ergeben sich damit erhebliche Zweifel an einer anstandslosen und fristgerechten Wiederausreise der Gesuchstellerin, erst recht auch deshalb, weil Y._______ in ihrer Beschwerde nichts vorgebracht hat, was auf irgendwelche persönlichen Verpflichtungen ihres Gastes im Heimatland hindeutet. Es kann daher nicht ausgeschlossen werden, dass X._______ - einmal in die Schweiz eingereist - der Verpflichtung zur anstandslosen Wiederausreise womöglich nicht mehr nachkommt.</w:t>
      </w:r>
    </w:p>
    <w:p>
      <w:r>
        <w:rPr>
          <w:b/>
        </w:rPr>
        <w:t>E. 8.4</w:t>
      </w:r>
    </w:p>
    <w:p>
      <w:r>
        <w:t>Die Beschwerdeführerin hat zwar betont, sie werde alle Verantwortung übernehmen für den Fall, dass die Gesuchstellerin nach Ablauf des dreimonatigen Besuchsaufenthalts die Schweiz nicht verlassen sollte. Sie geht dabei offensichtlich und zutreffenderweise davon aus, dass sie selbst keine Garantie für die fristgerechte Wiederausreise ihres Gastes, sondern lediglich für gewisse mit den Besuch verbundene finanzielle Risiken übernehmen kann (vgl. Urteil des Bundesverwaltungsgerichts C-3243/2007 vom 10. Juni 2008 E. 5.5). Bei der Abwägung des Risikos einer nicht fristgerechten Wiederausreise ist jedoch in erster Linie das mögliche Verhalten des Gastes - welches vorliegend nicht mit dem behaupteten Besuchzweck in Übereinstimmung gebracht werden kann - von Bedeutung. Dass die Gesuchstellerin die Schweiz nach früheren Aufenthalten anscheinend wieder anstandslos verlassen hat, fällt angesichts dessen nicht ins Gewicht.</w:t>
      </w:r>
    </w:p>
    <w:p>
      <w:r>
        <w:rPr>
          <w:b/>
        </w:rPr>
        <w:t>E. 9</w:t>
      </w:r>
    </w:p>
    <w:p>
      <w:r>
        <w:t>Die Vorinstanz durfte unter den gegebenen Umständen zu Recht davon ausgehen, die fristgerechte Wiederausreise der Gesuchstellerin sei nicht gewährleistet. Zwar lässt sich diese Einschätzung nicht zu einer gesicherten Feststellung verdichten; sie reicht aber aus, um die Erteilung einer Einreisebewilligung - auf welche, wie erwähnt, ohnehin kein Rechtsanspruch besteht - abzulehnen.</w:t>
      </w:r>
    </w:p>
    <w:p>
      <w:r>
        <w:rPr>
          <w:b/>
        </w:rPr>
        <w:t>E. 10</w:t>
      </w:r>
    </w:p>
    <w:p>
      <w:r>
        <w:t>Aus diesen Darlegungen folgt, dass die angefochtene Verfügung im Ergebnis rechtmässig ist (Art. 49 VwVG). Die Beschwerde ist demzufolge abzuweisen.</w:t>
      </w:r>
    </w:p>
    <w:p>
      <w:r>
        <w:rPr>
          <w:b/>
        </w:rPr>
        <w:t>E. 11</w:t>
      </w:r>
    </w:p>
    <w:p>
      <w:r>
        <w:t>Bei diesem Ausgang des Verfahrens sind die Kosten der Beschwerdeführerin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