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C-7664/2007 vom 1. Februar 2011</w:t>
      </w:r>
    </w:p>
    <w:p>
      <w:r>
        <w:t>Bundesverwaltungsgericht, 2011-02-01, DE</w:t>
      </w:r>
    </w:p>
    <w:p>
      <w:r>
        <w:rPr>
          <w:b/>
        </w:rPr>
        <w:t xml:space="preserve">Quelle: </w:t>
      </w:r>
      <w:r>
        <w:t>https://mcp.opencaselaw.ch/entscheid/bvger_C-7664_2007</w:t>
      </w:r>
    </w:p>
    <w:p>
      <w:r>
        <w:t>FR: TAF C-7664/2007 du 1 février 2011</w:t>
      </w:r>
    </w:p>
    <w:p>
      <w:r>
        <w:t>IT: TAF C-7664/2007 del 1 febbraio 2011</w:t>
      </w:r>
    </w:p>
    <w:p>
      <w:pPr>
        <w:pStyle w:val="Heading2"/>
      </w:pPr>
      <w:r>
        <w:t>Regeste</w:t>
      </w:r>
    </w:p>
    <w:p>
      <w:r>
        <w:t>Sozialhilfe an Auslandschweizer</w:t>
      </w:r>
    </w:p>
    <w:p>
      <w:pPr>
        <w:pStyle w:val="Heading2"/>
      </w:pPr>
      <w:r>
        <w:t>Erwägungen</w:t>
      </w:r>
    </w:p>
    <w:p>
      <w:r>
        <w:rPr>
          <w:b/>
        </w:rPr>
        <w:t>E. 1.1</w:t>
      </w:r>
    </w:p>
    <w:p>
      <w:r>
        <w:t>Verfügungen des Bundesamts für Justiz über Sozialhilfeleistungen an Schweizer Staatsangehörige im Ausland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deshalb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C-1261/2006 vom 19. Januar 2009 E. 2 mit Hinweisen).</w:t>
      </w:r>
    </w:p>
    <w:p>
      <w:r>
        <w:rPr>
          <w:b/>
        </w:rPr>
        <w:t>E. 2.2</w:t>
      </w:r>
    </w:p>
    <w:p>
      <w:r>
        <w:t>Die angefochtene Verfügung erging gestützt auf das ASFG, das durch das Bundesgesetz vom 20. März 2009 über die Schaffung gesetzlicher Grundlagen für die finanzielle Unterstützung von Schweizer Staatsangehörigen im Ausland (AS 2009 5685) mit Wirkung auf den 1. Januar 2010 in das BSDA umbenannt wurde, inhaltlich jedoch - was die Sozialhilfe an Auslandschweizer angeht - keine Änderung erfuhr. Die Verordnung vom 26. November 1973 über Fürsorgeleistungen an Auslandschweizer (ASFV, AS 1973 1983) ihrerseits wurde ohne übergangsrechtliche Regelung auf den 1. Januar 2010 durch die Verordnung vom 4. November 2009 über Sozialhilfe und Darlehen an Schweizer Staatsangehörige im Ausland (VSDA, SR 852.11) ersetzt. Auch dieser Erlass übernimmt den Inhalt des bisherigen Rechts weitgehend unverändert. In einigen Bereichen hat der Verordnungsgeber die Praxis kodifiziert, wie sie bis anhin den altrechtlichen Richtlinien und Rundschreiben entnommen werden konnte. Der Anwendung des neuen Rechts steht daher grundsätzlich nichts entgegen. Dabei kann auf die bisherige Rechtsprechung zurückgegriffen werden (vgl. Urteil des Bundesverwaltungsgerichts C-4994/2009 vom 14. Oktober 2010 E. 3 mit Hinweisen).</w:t>
      </w:r>
    </w:p>
    <w:p>
      <w:r>
        <w:rPr>
          <w:b/>
        </w:rPr>
        <w:t>E. 3</w:t>
      </w:r>
    </w:p>
    <w:p>
      <w:r>
        <w:t>Nach Art. 1 BSDA gewährt der Bund Auslandschweizern, die sich in einer Notlage befinden, im Rahmen des Gesetzes Sozialhilfeleistungen. Art. 5 BSDA macht die Sozialhilfe davon abhängig, dass der Betroffene seinen Lebensunterhalt weder hinreichend aus eigenen Kräften und Mitteln, noch mit Beiträgen von privater Seite oder Hilfeleistungen des Aufenthaltsstaates bestreiten kann. Art. 6 BSDA stellt sodann den Grundsatz auf, dass Doppelbürger, deren ausländisches Bürgerrecht vorherrscht, in der Regel nicht unterstützt werden. Art. 7 BSDA schliesslich sieht vor, dass Sozialhilfe abgelehnt oder entzogen werden kann, wenn der Gesuchsteller bestimmte Ausschlussgründe setzt. Die Sozialhilfe kann in wiederkehrender oder einmaliger Form erfolgen, je nachdem, ob sie der Deckung laufender Lebenshaltungskosten oder der Finanzierung einmaliger Auslagen dient. In einmaliger Form wird die Sozialhilfe einer Person gewährt, deren anrechenbare Einnahmen nach Abzug der anerkannten Ausgaben nicht ausreichen, um eine einmalige für den Lebensunterhalt notwendige Auslage zu bezahlen, und bei der kein den Freibetrag übersteigendes liquidierbares Vermögen vorhanden ist (Art. 10 VSDA). Was unter anrechenbaren Einnahmen und anerkannten Ausgaben zu verstehen ist, ergibt sich aus Art. 6 bis 8 VSDA.</w:t>
      </w:r>
    </w:p>
    <w:p>
      <w:r>
        <w:rPr>
          <w:b/>
        </w:rPr>
        <w:t>E. 4.1</w:t>
      </w:r>
    </w:p>
    <w:p>
      <w:r>
        <w:t>In der vorliegenden Streitsache geht es um einmalige Sozialhilfe in Gestalt der Finanzierung eines chirurgischen Eingriffs. Dabei steht fest, dass die Mittel des Beschwerdeführers nicht ausreichen, um die Kosten des Eingriffs zu tragen. Umstritten und zu prüfen ist, ob diese Kosten als für den Lebensunterhalt notwendige Auslage im Sinne von Art. 10 VSDA anzuerkennen sind. Das wäre hier der Fall, wenn der chirurgische Eingriff als Teil der medizinischen Grundversorgung gelten könnte, die in der Schweiz von der obligatorischen Krankenversicherung abgedeckt ist (vgl. Claudia Hänzi, Leistungen und Sozialhilfe in den Kantonen, in: Christoph Häfeli [Hrsg.], Das Schweizerische Sozialhilferecht - Rechtsgrundlagen und Rechtsprechung, Luzern 2008, S. 125 ff.). Somit kann in Anlehnung an die einschlägigen Normen des Sozialversicherungsrechts davon ausgegangen werden, dass die Kosten eines operativen Eingriffs zum sozialhilferechtlich notwendigen Lebensunterhalt gehören, wenn der operative Eingriff im Sinne von Art. 32 Abs. 1 des Bundesgesetzes vom 18. März 1994 über die Krankenversicherung (KVG, SR 832.10) eine wirksame, zweckmässige und wirtschaftliche Massnahme zur Behandlung eines Gesundheitsschadens darstellt, sei er nun Krankheit oder Folge eines Unfalls.</w:t>
      </w:r>
    </w:p>
    <w:p>
      <w:r>
        <w:rPr>
          <w:b/>
        </w:rPr>
        <w:t>E. 4.2</w:t>
      </w:r>
    </w:p>
    <w:p>
      <w:r>
        <w:t>Wesentliche Grundlage der angefochtenen Verfügung bildet das polydisziplinäre Gutachten der asim vom 8. August 2007. Dieses wurde zwar zu Handen des IV-Verfahrens erstellt. Das berührt jedoch seine Beweiseignung für das vorliegende Verfahren nicht, solange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die Schlussfolgerungen des Experten begründet sind (vgl. BGE 125 V 351 E. 3a S. 351). Dass es nicht von behandelnden Ärzten angefertigt wurde, beeinträchtigt seine Beweiskraft entgegen der Auffassung des Beschwerdeführers nicht. Es verhält sich diesbezüglich umgekehrt. Die Tatsache, dass der behandelnde Arzt in erster Linie seinem Patienten verpflichtet ist, kann je nach Konstellation Abstriche an der Beweiskraft seiner Berichte rechtfertigen (BGE 125 V 351 E. 3b/cc S. 353).</w:t>
      </w:r>
    </w:p>
    <w:p>
      <w:r>
        <w:rPr>
          <w:b/>
        </w:rPr>
        <w:t>E. 4.3</w:t>
      </w:r>
    </w:p>
    <w:p>
      <w:r>
        <w:t>Den oben genannten Anforderungen an die Beweiskraft ärztlicher Gutachten und Berichte genügt das asim Gutachten ohne weiteres. Es wurde auf der Grundlage umfangreicher medizinischer Vorakten, fachärztlicher Untersuchungen des Beschwerdeführers, der sich zu diesem Zweck eigens in die Schweiz begab, und den Beschlüssen einer interdisziplinären Konsensbesprechung angefertigt. Die begutachtenden Ärzte wurden dabei von der Vorinstanz auf die Fragestellung des vorliegenden Verfahrens hingewiesen, die denn auch Eingang in das Gutachten gefunden hat. Von einem chirurgischen Eingriff raten sie ab. Die erwünschte Re-Operation an der Lendenwirbelsäule erachten sie nicht als angezeigt, weil der radiologische Befund (keine Hinweise auf eine Rezidivhernie, weiter Spinalkanal, keine relevanten Einengungen im Bereich der Nervenabgangsstellen, geringfügige Lockerungsanzeichen bei einer Schraube mit ansonsten gutem ossärem Durchbau der Spondylodese) die beklagte Symptomatik weder in ihrem Ausmass noch in ihrer spezifischen Ausprägung erklären könne. Eine nennenswerte Besserung der Symptome, die vermutungsweise einen erheblichen funktionellen Anteil hätten, sei nicht zu erwarten. Was eine neu diagnostizierte zervikale Diskushernie anbetrifft, liessen sich derzeit keine radikulären, sensomotorischen Ausfälle oder Reizerscheinungen dokumentieren. Solange dies nicht der Fall sei, sei die Durchführung einer Diskektomie nicht indiziert.</w:t>
      </w:r>
    </w:p>
    <w:p>
      <w:r>
        <w:rPr>
          <w:b/>
        </w:rPr>
        <w:t>E. 4.4</w:t>
      </w:r>
    </w:p>
    <w:p>
      <w:r>
        <w:t>Bereits gestützt auf das asim Gutachten ergibt sich, dass die vom Be­schwerdeführer gewünschte Operation mangels medizinisch ausgewiese­ner Indikation nicht als zweckmässige Massnahme im Sinne von Art. 32 Abs. 1 KVG anerkannt werden kann (vgl. dazu Gebhard Eug­ster, Bundesgesetz über die Krankenversicherung [KVG], in: Erwin Mu­rer/Hans-Ulrich Stauffer [Hrsg.], Die Rechtsprechung des Bundesgerichts zum Sozialversicherungsrecht, Zürich etc. 2010, Rz. 7 ff. zu Art. 32), wes­halb eine Finanzierung durch die Sozialhilfe gestützt auf Art. 10 VSDA ausgeschlossen ist. Dass die Vorinstanz vor ihrem Entscheid eine "weitere unabhängige Beurteilung" sämtlicher ärztlicher Un­terlagen durch einen Vertrauensarzt der schweizerischen Vertretung in Bangkok veranlasste, erscheint vor dem Hintergrund des Umfangs und der Qualität des asim Gutachtens als überflüssige Beweisanordnung. Angesichts der Tatsache, dass dieser Vertrauens­arzt ein Internist mit Spezialisierung auf dem Gebiet der Allergologie und Immunologie ist, bestehen darüber hinaus begründete Zweifel an der Taug­lichkeit der Massnahme. Sinn macht ein Beizug des Vertrauensarztes nur insoweit, als allgemei­nes medizinisches Fachwissen als Entscheidungshilfe bei der Beurteilung der Schlüssigkeit des asim Gutachtens gefragt war. Das war jedoch offen­sichtlich nicht die ursprüngliche Intention der Vorinstanz. Weitere Erör­terungen zu diesem Thema erübrigen sich jedoch, weil das asim Gutachten als Entscheidsgrundlage ausreichend ist. Dementspre­chend muss auch nicht weiter auf die im Zusammenhang mit dem vertrau­ens­ärztlichen Bericht erhobenen Einwände des Beschwerdefüh­rers eingegangen werden.</w:t>
      </w:r>
    </w:p>
    <w:p>
      <w:r>
        <w:rPr>
          <w:b/>
        </w:rPr>
        <w:t>E. 5</w:t>
      </w:r>
    </w:p>
    <w:p>
      <w:r>
        <w:t>Anzufügen ist, dass das Bundesverwaltungsgericht in der vom Beschwerdeführer gerügten Art und Weise, wie er vom negativen Entscheid erfuhr, keine Rechtsfehler erkennen kann. Weder ist zu beanstanden, dass der Beschwerdeführer telefonisch vororientiert wurde, als er sich am 23. August 2007 gerade auf dem Weg zu einem Arzttermin befand, noch ist etwas daran auszusetzen, dass die Schweizerische Botschaft ihm am 8. Oktober 2007 innert Stundenfrist über den Versand der angefochtenen Verfügung Auskunft geben konnte, noch kann der Beschwerdeführer etwas daraus ableiten, dass ihm nebst dem Verfügungsoriginal irrtümlich auch das für die Botschaft bestimmte Belegexemplar zugestellt wurde. Es kann in diesem Zusammenhang auf die zutreffenden Ausführungen der Vorinstanz in ihrer Vernehmlassung vom 27. Mai 2008 verwiesen werden.</w:t>
      </w:r>
    </w:p>
    <w:p>
      <w:r>
        <w:rPr>
          <w:b/>
        </w:rPr>
        <w:t>E. 6</w:t>
      </w:r>
    </w:p>
    <w:p>
      <w:r>
        <w:t>Das Bundesverwaltungsgericht gelangt abschliessend zum Ergebnis, dass die angefochtene Verfügung zu Recht erging (Art. 49 VwVG). Die Beschwerde ist daher abzuweisen.</w:t>
      </w:r>
    </w:p>
    <w:p>
      <w:r>
        <w:rPr>
          <w:b/>
        </w:rPr>
        <w:t>E. 7</w:t>
      </w:r>
    </w:p>
    <w:p>
      <w:r>
        <w:t>Bei diesem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