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C-7659/2007 vom 20. Oktober 2009</w:t>
      </w:r>
    </w:p>
    <w:p>
      <w:r>
        <w:t>Bundesverwaltungsgericht, 2009-10-20, FR</w:t>
      </w:r>
    </w:p>
    <w:p>
      <w:r>
        <w:rPr>
          <w:b/>
        </w:rPr>
        <w:t xml:space="preserve">Quelle: </w:t>
      </w:r>
      <w:r>
        <w:t>https://mcp.opencaselaw.ch/entscheid/bvger_C-7659_2007</w:t>
      </w:r>
    </w:p>
    <w:p>
      <w:r>
        <w:t>FR: TAF C-7659/2007 du 20 octobre 2009</w:t>
      </w:r>
    </w:p>
    <w:p>
      <w:r>
        <w:t>IT: TAF C-7659/2007 del 20 ottobre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RO 1 113), conformément à l'art. 125 LEtr, en relation avec le chiffre I de son annexe 2. S'agissant des procédures qui sont antérieures à l'entrée en vigueur de la LEtr, l'ancien droit (matériel) demeure applicable, conformément à la réglementation transitoire de l'art. 126 al. 1 LEtr (cf. en ce sens ATAF 2008/1 consid. 2). Tel est le cas en l'occurrence. En revanche, conformément à l'art. 126 al. 2 LEtr, la présente cause est régie par le nouveau droit de procédure.</w:t>
      </w:r>
    </w:p>
    <w:p>
      <w:r>
        <w:rPr>
          <w:b/>
        </w:rPr>
        <w:t>E. 1.3</w:t>
      </w:r>
    </w:p>
    <w:p>
      <w:r>
        <w:t>A._______ a qualité pour recourir (art. 48 al. 1 PA). Présenté dans la forme et les délais prescrits par la loi, le recours est recevable (cf. art. 50 et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[ATF 129 II 215]).</w:t>
      </w:r>
    </w:p>
    <w:p>
      <w:r>
        <w:rPr>
          <w:b/>
        </w:rPr>
        <w:t>E. 2</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ATF 129 IV 246 consid. 3.2 et réf. citées),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arrêt du Tribunal administratif fédéral C-5883/2008 du 27 avril 2009, consid. 2, et références citées).</w:t>
      </w:r>
    </w:p>
    <w:p>
      <w:r>
        <w:rPr>
          <w:b/>
        </w:rPr>
        <w:t>E. 3</w:t>
      </w:r>
    </w:p>
    <w:p>
      <w:r>
        <w:t>En l'occurrence, l'interdiction d'entrée en Suisse prise le 4 août 2003 par l'Office fédéral à l'endroit de A._______ est motivée principalement par le fait que celui-ci doit être considéré comme un étranger indésirable pour des motifs d'ordre et de sécurité publics. Ladite mesure d'éloignement mentionne également que l'intéressé est défavorablement connu des services de police suisse et français en raison de ses nombreux antécédents judiciaires en France. A cet égard, il appert des pièces du dossier (cf. casier judiciaire français délivré le 22 octobre 2007) que A._______ a fait l'objet de multiples condamnations pénales dans ce pays essentiellement pour atteintes contre le patrimoine (cf. let. A et E supra). Au vu de la nature et de la gravité des délits pour lesquels il a ainsi été sanctionné en France, l'intéressé répond sans conteste, au vu du droit interne et en regard de ces seuls actes déjà, à la qualification d'étranger indésirable telle que définie à l'art. 13 al. 1 phr. 1 LSEE et par la jurisprudence y relative, de sorte qu'il réalise les conditions d'application de cette disposition (cf. consid. 2 supra). L'argument tiré du fait que le recourant n'a subi aucune condamnation en Suisse, du moins jusqu'au prononcé de la décision querellée (cf. mémoire de recours, p. 6), n'est point déterminant, compte tenu du caractère essentiellement préventif de la mesure querellée. Dans ce contexte, il est significatif de noter que l'intéressé a non seulement commis un nombre élevé d'actes répréhensibles dans son pays d'origine, mais a aussi occupé les services de police du canton de Genève depuis 1997 dans le cadre de différentes affaires pénales, liées notamment à des malversations financières (cf. rapports de la police de sûreté du 10 mars 1997 et de la police judiciaire des 5 novembre 2001 et 24 avril 2003). Au regard du droit interne, la décision d'interdiction d'entrée dont est recours s'avère donc, compte tenu des motifs mentionnés ci-dessus, parfaitement justifiée dans son principe pour des raisons préventives d'ordre et de sécurité publics.</w:t>
      </w:r>
    </w:p>
    <w:p>
      <w:r>
        <w:rPr>
          <w:b/>
        </w:rPr>
        <w:t>E. 4.1</w:t>
      </w:r>
    </w:p>
    <w:p>
      <w:r>
        <w:t>Dans la mesure où A._______ est de nationalité française et, partant, citoyen de l'un des Etats membres de la Communauté européenne (CE), il importe de surcroît de vérifier si la mesure d'éloignement prononcée contre lui le 4 août 2003 est conforme à l'ALCP. En vertu de l'art. 1 let. a LSEE, cette dernière loi et, donc, l'art. 13 al. 1 LSEE sur lequel repose la décision querellée, n'est en effet applicable aux ressortissants des Etats membres de la CE que si l'ALCP n'en dispose pas autrement ou si la LSEE prévoit des dispositions plus favorables.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176 consid. 3.1]).</w:t>
      </w:r>
    </w:p>
    <w:p>
      <w:r>
        <w:rPr>
          <w:b/>
        </w:rPr>
        <w:t>E. 4.2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précité, consid. 3.2; 130 précité, consid. 3.4.1, 130 II 493 consid. 3.2; voir également l'arrêt du Tribunal fédéral 2C_625/2007 du 2 avril 2008, consid. 7.2 et les arrêts cités de la CJCE).</w:t>
      </w:r>
    </w:p>
    <w:p>
      <w:r>
        <w:rPr>
          <w:b/>
        </w:rPr>
        <w:t>E. 4.3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cette directive,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précité, consid. 3.2, 130 II 176 consid. 3.4.2; voir également l'arrêt du Tribunal fédéral 2C_691/2007 du 10 mars 2008, consid. 3.2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131 précité, consid. 3.3, 130 II 176 consid. 4.3.1, 130 II 493 consid. 3.3; cf. également l'arrêt du Tribunal fédéral 2C_691/2007 précité et les arrêts cités de la CJCE). Comme pour tout citoyen étranger, l'examen doit être effectué en tenant compte des garanties découlant de la Convention de sauvegarde des droits de l'homme et des libertés fondamentales du 4 novembre 1950 (CEDH, RS 0.101) et en appliquant le principe de la proportionnalité (cf. ATF 131 précité, consid. 3.3, 130 II 176 consid. 3.4.2, 130 II 493 consid. 3.3).</w:t>
      </w:r>
    </w:p>
    <w:p>
      <w:r>
        <w:rPr>
          <w:b/>
        </w:rPr>
        <w:t>E. 4.4</w:t>
      </w:r>
    </w:p>
    <w:p>
      <w:r>
        <w:t>Il convient donc d'examiner au vu de ce qui précède si la mesure d'éloignement prononcée par l'Office fédéral le 4 août 2003 satisfait au principe de proportionnalité et si elle est aussi conforme à l'art. 8 CEDH. Les pièces versées au dossier montrent que la décision entreprise ne contrevient pas à la norme conventionnelle précitée. S'agissant du respect du principe de la proportionnalité, il s'avère que le recourant, ainsi que cela a été exposé plus haut, a subi de multiples - et pour la plupart lourdes - peines d'emprisonnement en France, principalement pour escroquerie et usage de faux. De plus, le Tribunal correctionnel d'Albi (F) l'a condamné, par jugement du 28 janvier 1988, à une peine d'emprisonnement de quatre ans non seulement pour « escroquerie par emploi de manoeuvres frauduleuses », mais encore pour « extorsion par force, violence ou contrainte » (cf. casier judiciaire français délivré le 22 octobre 2007, p. 4). Le recourant ne s'est donc pas uniquement rendu coupable d'infractions contre le patrimoine, mais également contre la liberté d'autrui, en usant de la violence ou de la contrainte, ce qui constitue sans aucun doute une circonstance aggravante, du moins au regard du droit suisse. A ce stade, il y a donc lieu de retenir que A._______ a commis des infractions qui doivent être qualifiées objectivement de graves et dont on ne saurait contester qu'elles affectent un intérêt fondamental de la société au sens de la jurisprudence de la CJCE.</w:t>
      </w:r>
    </w:p>
    <w:p>
      <w:r>
        <w:rPr>
          <w:b/>
        </w:rPr>
        <w:t>E. 4.5</w:t>
      </w:r>
    </w:p>
    <w:p>
      <w:r>
        <w:t>Il reste cependant encore à examiner si cette menace est toujours actuelle, au vu des divers arguments développés dans le recours. A cet égard le recourant affirme que ses antécédents judiciaires en France ne peuvent à eux seuls justifier la décision querellée, dès lors que sa dernière condamnation pénale date de 2001 et concerne un excès de vitesse, et que sa dernière condamnation pour escroquerie remonte au 7 juillet 1999 (cf. mémoire de recours, p. 6). Cette dernière affirmation ne saurait être retenue puisqu'elle est démentie par les pièces figurant au dossier. Ainsi, il appert que le comportement de l'intéressé a donné lieu, depuis le prononcé de la mesure querellée du 4 août 2003, à de nouvelles condamnations pénales en France, principalement pour escroquerie, les 8 novembre 2004 et 8 décembre 2006. En outre, comme il a été exposé plus haut, le comportement du recourant n'a pas uniquement donné lieu à des condamnations pénales en France, mais a également occupé les autorités de police et judiciaires du canton de Genève depuis de nombreuses années (cf. let. C et consid. 3 supra). De plus, il appert des renseignements communiqués par l'autorité judiciaire pénale que A._______ a été inculpé à Genève d'escroquerie par métier le 9 novembre 2007, puis de blanchiment et tentative de blanchiment d'argent le 9 janvier 2008 (cf. courrier du Juge d'instruction genevois du 14 mars 2008). Pour ces faits, l'intéressé a été placé en détention préventive à Genève, dans l'attente de l'audience de jugement par la Cour correctionnelle. Cela étant, il s'avère que les divers éléments mis en avant ci-dessus sont de nature à démontrer que le comportement de A._______ représente toujours une menace grave et actuelle pour l'ordre public, le risque de récidive d'actes délictueux ne pouvant en aucun cas être exclu. Il est donc indéniable, au vu de l'ensemble de ces circonstances, que l'éloignement du recourant de Suisse s'impose en vue de la prévention de nouvelles infractions. L'existence d'un risque de récidive peut d'autant moins être sous-estimé dans le cas particulier que l'intéressé ne pouvait justifier, au moment de ses inculpations les 9 novembre 2007 et 9 janvier 2008, d'aucune activité lucrative licite en Suisse ou en France. Le laps de temps durant lequel cette mesure d'éloignement déploiera encore ses effets s'avère en effet nécessaire, dans la mesure où il est attendu du recourant qu'il fasse la preuve, par l'acte, d'un revirement significatif d'attitude. Le comportement du recourant d'une manière générale et les actes perpétrés, qui doivent être objectivement qualifiés de graves, justifient totalement le maintien de la mesure d'ordre public prononcée par l'Office fédéral jusqu'au 3 août 2013.</w:t>
      </w:r>
    </w:p>
    <w:p>
      <w:r>
        <w:rPr>
          <w:b/>
        </w:rPr>
        <w:t>E. 5</w:t>
      </w:r>
    </w:p>
    <w:p>
      <w:r>
        <w:t>Il ressort de ce qui précède que, par sa décision du 4 août 2003,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