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C-7647/2006 vom 26. September 2008</w:t>
      </w:r>
    </w:p>
    <w:p>
      <w:r>
        <w:t>Bundesverwaltungsgericht, 2008-09-26, FR</w:t>
      </w:r>
    </w:p>
    <w:p>
      <w:r>
        <w:rPr>
          <w:b/>
        </w:rPr>
        <w:t xml:space="preserve">Quelle: </w:t>
      </w:r>
      <w:r>
        <w:t>https://mcp.opencaselaw.ch/entscheid/bvger_C-7647_2006</w:t>
      </w:r>
    </w:p>
    <w:p>
      <w:r>
        <w:t>FR: TAF C-7647/2006 du 26 septembre 2008</w:t>
      </w:r>
    </w:p>
    <w:p>
      <w:r>
        <w:t>IT: TAF C-7647/2006 del 26 settembre 2008</w:t>
      </w:r>
    </w:p>
    <w:p>
      <w:pPr>
        <w:pStyle w:val="Heading2"/>
      </w:pPr>
      <w:r>
        <w:t>Regeste</w:t>
      </w:r>
    </w:p>
    <w:p>
      <w:r>
        <w:t>Assurance-invalidité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de l'assurance-invalidité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dispositions citées ci-après sont celles en vigueur jusqu'au 31 décembre 2007.</w:t>
      </w:r>
    </w:p>
    <w:p>
      <w:r>
        <w:rPr>
          <w:b/>
        </w:rPr>
        <w:t>E. 3.3</w:t>
      </w:r>
    </w:p>
    <w:p>
      <w:r>
        <w:t>Le recourant a présenté sa demande de rente le 17 janvier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17 janvier 2004 (12 mois avant le dépôt de la demande) ou si le droit à une rente était né entre cette date et le 17 novembre 2006, date de la décision attaquée marquant la limite dans le temps du pouvoir d'examen de l'autorité de recours (ATF 129 V 4 consid. 2.1 et 121 V 366 consid. 1b).</w:t>
      </w:r>
    </w:p>
    <w:p>
      <w:r>
        <w:rPr>
          <w:b/>
        </w:rPr>
        <w:t>E. 4</w:t>
      </w:r>
    </w:p>
    <w:p>
      <w:r>
        <w:t>Selon les normes applicables, tout requérant, pour avoir droit à une rente de l'assurance-invalidité suisse, doit remplir cumulativement les conditions suivantes: - être invalide au sens de la LPGA et de la LAI (art. 8 LPGA, 4, 28, 29 al. 1 LAI); - compter une année entière au moins de cotisations (art. 36 al. 1 LAI).</w:t>
      </w:r>
    </w:p>
    <w:p>
      <w:r>
        <w:rPr>
          <w:b/>
        </w:rPr>
        <w:t>E. 5</w:t>
      </w:r>
    </w:p>
    <w:p>
      <w:r>
        <w:t>Le recourant a versé des cotisations à l'AVS/AI pendant plus d'une année au total et remplit donc la condition de la durée minimale de cotisations. Il reste à examiner s'il est invalide.</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6.3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ss).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du règlement du 17 janvier 1961 sur l'assurance-invalidité (RAI, RS 831.201), la lettre b si l'état de santé est labile, c'est-à-dire susceptible d'une amélioration ou d'une aggravation (ATF 111 V 21 consid. 2; ATF 99 V 98; ATF 96 V 42).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w:t>
      </w:r>
    </w:p>
    <w:p>
      <w:r>
        <w:rPr>
          <w:b/>
        </w:rPr>
        <w:t>E. 6.4</w:t>
      </w:r>
    </w:p>
    <w:p>
      <w:r>
        <w:t>Une incapacité de travail de 20% doit être prise en compte pour le calcul de l'incapacité de travail moyenne selon l'art. 29 al. 1 let. b LAI (cf. chiffre marginal 2020 de la Circulaire concernant l'invalidité et l'impotence dans sa version applicable jusqu'au 31 décembre 2007; Jurisprudence et pratique administrative des autorités d'exécution de l'AVS/AI [Pratique VSI] 1998 p. 126 consid. 3c).</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Zurich 2003, art. 42 n° 16 p. 424 s.; ATF 122 II 469). Une telle manière de procéder ne viole pas le droit d'être entendu selon l'art. 29 al. 2 Cst. (Sozialversicherungsrecht [SVR] 2001 IV n° 10 p. 28).</w:t>
      </w:r>
    </w:p>
    <w:p>
      <w:r>
        <w:rPr>
          <w:b/>
        </w:rPr>
        <w:t>E. 8.2</w:t>
      </w:r>
    </w:p>
    <w:p>
      <w:r>
        <w:t>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 162/2007 du 3 avril 2008 consid. 2.3. et les références citées)</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Au demeurant, l'élément déterminant pour la valeur probante n'est ni l'origine du moyen de preuve ni sa désignation comme rapport ou comme expertise, mais bel et bien son contenu (ATF 125 V 352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10.1</w:t>
      </w:r>
    </w:p>
    <w:p>
      <w:r>
        <w:t>Il résulte du dossier que la dernière activité de l'intéressé a été celle de maçon coffreur jusqu'au 31 juillet 2004 et qu'il n'a effectivement plus exercé d'activité ensuite. Il faut donc examiner la documentation médicale.</w:t>
      </w:r>
    </w:p>
    <w:p>
      <w:r>
        <w:rPr>
          <w:b/>
        </w:rPr>
        <w:t>E. 10.2</w:t>
      </w:r>
    </w:p>
    <w:p>
      <w:r>
        <w:t>Dans les rapports médicaux au dossier, dont l'E 213 de la sécurité sociale espagnole du 11 mars 2005 et la prise de position du service médical de l'OAIE du 19 juillet 2006, il est notamment fait état d'un status après amputation des cinq doigts de la main gauche suite à un accident de travail survenu quelque 7 ans avant le rapport E 213, d'un status d'obésité, de difficultés de souffle lors d'efforts de moyenne importance, d'une cardiopathie hypertensive, d'obstruction pulmonaire chronique. Exception faite du handicap à la main gauche,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10.3</w:t>
      </w:r>
    </w:p>
    <w:p>
      <w:r>
        <w:t>Le Tribunal constate ensuite qu'en procédure de première instance le recourant a demandé, pour le moins implicitement, à l'autorité inférieure le 2 novembre 2006 de procéder à des mesures d'instruction complémentaires concernant son état de santé, étant donné son incapacité totale de travail alléguée pour toute activité. Il s'est en outre mis à disposition de l'autorité pour la réalisation des examens médicaux nécessaires. Toutefois, l'OAIE n'a pas donné suite à la requête précitée du recourant et n'a fourni aucune explication à ce sujet dans la décision attaquée. Vu que la decision dont est recours a été rendue le 17 novembre 2006, à savoir 20 mois après la rédaction du rapport médical le plus récent au dossier concernant l'état de santé du recourant sur lequel s'appuie l'OAIE (cf. formule E 213 du 11 mars 2005), l'administration ne pouvait faire abstraction de mesures d'instructions complémentaires.</w:t>
      </w:r>
    </w:p>
    <w:p>
      <w:r>
        <w:rPr>
          <w:b/>
        </w:rPr>
        <w:t>E. 10.4</w:t>
      </w:r>
    </w:p>
    <w:p>
      <w:r>
        <w:t>De plus, quelques jours après le prononcé de la decision attaquée, mais avant l'expiration du délai de recours, respectivement de l'introduction du recours, le recourant a fait parvenir à l'OAIE un certificat médical du G._______ daté du 23 novembre 2006 (reçu de l'autorité inférieure le 30 novembre 2006). Par lettre du 20 décembre 2006, l'OAIE a communiqué au recourant que vu la notification de la décision le 17 novembre 2006, il ne lui était plus possible de prendre en considération la nouvelle documentation médicale et que s'il n'était pas d'accord avec la décision du 17 novembre 2006 il devait introduire un recours dans le délai de 30 jours à dater de sa notification. Le Tribunal de céans constate d'abord que le certificat médical du 23 novembre 2006 démontre que la situation médicale du recourant a évolué depuis mars 2005, dans le sens qu'au diagnostic précédent viennent s'ajouter, antérieurement à la date de la décision attaquée, l'hypersomnie diurne et le syndrome d'apnée du sommeil. Il constate en outre que l'OAIE peut retirer/annuler sa décision pour le moins jusqu'à la présentation de sa réponse au recours (ATF 107 V 192), et donc a fortiori pendant le délai de recours et avant le dépôt du recours pour des motifs d'erreur de fait ou de droit ou pour des motifs d'opportunité, lorsque la décision est une décision de constatation ou une décision négative ou lorsqu'une décision formatrice n'a déployé encore aucun effet (cf. Blaise Knapp, Précis de droit administratif, 4e éd., Bâle/Francfort-sur-le-Main 1991, n° 1253 p. 268). Cela étant, l'OAIE n'a pas examiné la portée du certificat médical du 23 novembre 2006 ni avant ni après l'introduction du recours. Cette façon de procéder, pour le moins inopportune, ne saurait être admise. Par ailleurs, rien ne permettait ni ne permet d'affirmer, en l'état du dossier, que l'hypersomnie diurne et le syndrome d'apnée du sommeil, qui s'ajoute aux affections précédemment diagnostiquées du recourant, ne pourraient déterminer, le cas échéant, une modification, par exemple de 100% à seulement 80%, de la capacité du recourant d'exercer une activité de substitution légère sans efforts intenses, avec les conséquences que cela impliqueraient sur le droit à une rente.</w:t>
      </w:r>
    </w:p>
    <w:p>
      <w:r>
        <w:rPr>
          <w:b/>
        </w:rPr>
        <w:t>E. 10.5</w:t>
      </w:r>
    </w:p>
    <w:p>
      <w:r>
        <w:t>Il se justifie dès lors, en application de l'art. 61 PA, de renvoyer la cause à l'OAIE pour instruction complémentaire en ce qui concerne l'état de santé du recourant et sa capacité de travail dans une activité légère et pour nouvelle décision sur le droit éventuel du recourant à une rente.</w:t>
      </w:r>
    </w:p>
    <w:p>
      <w:r>
        <w:rPr>
          <w:b/>
        </w:rPr>
        <w:t>E. 11</w:t>
      </w:r>
    </w:p>
    <w:p>
      <w:r>
        <w:t>Le recourant ayant eu partiellement gain de cause obligeant le renvoi du dossier à l'autorité inférieure, il n'est pas perçu de frais de procédure (art. 63 PA) et le montant de Fr. 400.- versé à titre d'avance de frais lui est restitué.</w:t>
      </w:r>
    </w:p>
    <w:p>
      <w:r>
        <w:rPr>
          <w:b/>
        </w:rPr>
        <w:t>E. 12</w:t>
      </w:r>
    </w:p>
    <w:p>
      <w:r>
        <w:t>Le recourant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