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C-7645/2010 vom 31. August 2011</w:t>
      </w:r>
    </w:p>
    <w:p>
      <w:r>
        <w:t>Bundesverwaltungsgericht, 2011-08-31, FR</w:t>
      </w:r>
    </w:p>
    <w:p>
      <w:r>
        <w:rPr>
          <w:b/>
        </w:rPr>
        <w:t xml:space="preserve">Quelle: </w:t>
      </w:r>
      <w:r>
        <w:t>https://mcp.opencaselaw.ch/entscheid/bvger_C-7645_2010</w:t>
      </w:r>
    </w:p>
    <w:p>
      <w:r>
        <w:t>FR: TAF C-7645/2010 du 31 août 2011</w:t>
      </w:r>
    </w:p>
    <w:p>
      <w:r>
        <w:t>IT: TAF C-7645/2010 del 31 agosto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Aux termes de l'art. 11 al. 1 LEtr, tout étranger qui entend exercer en Suisse une activité lucrative doit être titulaire d'une autorisation, quelle que soit la durée de son séjour.</w:t>
      </w:r>
    </w:p>
    <w:p>
      <w:r>
        <w:rPr>
          <w:b/>
        </w:rPr>
        <w:t>E. 4</w:t>
      </w:r>
    </w:p>
    <w:p>
      <w:r>
        <w:t>L'interdiction d'entrée, qui permet d'empêcher l'entrée ou le retour en Suisse (et dans l'Espace Schengen, cf. arrêt du Tribunal administratif fédéral C-6528/2008 du 14 mai 2009 consid. 4)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w:t>
      </w:r>
    </w:p>
    <w:p>
      <w:r>
        <w:rPr>
          <w:b/>
        </w:rPr>
        <w:t>E. 5.1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En l'occurrence, la décision querellée, compte tenu des faits reprochés à la recourante, est fondée sur l'ancien art. 67 al. 1 let. a LEtr qui correspond en tout point à l'alinéa 2 let. a du nouvel art. 67 LEtr.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Il apparaît enfin que la durée de la mesure prononcée le 28 septembre 2010 n'excède pas cinq ans. En conséquence, l'application du nouveau droit à ces éléments de fait ne pose aucun problème de rétroactivité proprement dite.</w:t>
      </w:r>
    </w:p>
    <w:p>
      <w:r>
        <w:rPr>
          <w:b/>
        </w:rPr>
        <w:t>E. 5.2</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5.3</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 6801/2010 du 1er avril 2011 consid. 4 et C 1667/2010 du 21 mars 2011 consid. 3.3).</w:t>
      </w:r>
    </w:p>
    <w:p>
      <w:r>
        <w:rPr>
          <w:b/>
        </w:rPr>
        <w:t>E. 5.4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5.5</w:t>
      </w:r>
    </w:p>
    <w:p>
      <w:r>
        <w:t>En application de l'art. 81 OASA, les autorités cantonales peuvent déposer une demande auprès de l'ODM afin qu'il ordonne une interdiction d'entrée.</w:t>
      </w:r>
    </w:p>
    <w:p>
      <w:r>
        <w:rPr>
          <w:b/>
        </w:rPr>
        <w:t>E. 5.6</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Ausländerinnen und Ausländern in der Schweiz von A(syl) bis Z(ivilrecht), 2ème éd., Peter Uebersax/Beat Rudin/Thomas Hugi Yar/Thomas Geiser [éd.], Bâle 2009, ch. 8.80 p. 356). 6.Le 28 septembre 2010, l'ODM a rendu à l'endroit de A._______ une interdiction d'entrée en Suisse au motif que celle-ci avait attenté à la sécurité et à l'ordre publics en raison d'un séjour et d'une activité professionnelle sans autorisation (art. 67 al. 1 let. a LEtr) et qu'elle avait été renvoyée ou expulsée (art. 67 al. 1 let. c LEtr). L'examen du dossier amène à constater que, selon les déclarations même de la recourante, celle-ci est venue rejoindre en Suisse son ami B._______ au mois de juin 2010 et y a ensuite travaillé sans autorisation, au sein de son établissement, depuis le 1er juillet 2010, jusqu'à ce que sa présence en Suisse fût découverte le 16 septembre 2010 par l'inspection cantonale du travail. Il ressort de ce qui précède que la recourante a exercé une activité lucrative à plein temps durant près de deux mois et demi sans aucune autorisation, violant ainsi de manière parfaitement consciente et volontaire les prescriptions légales régissant le séjour et la prise d'emploi des étrangers en Suisse. Elle ne pouvait en effet ignorer, pour avoir réglé ses conditions de séjour en Italie, qu'elle ne pouvait travailler en Suisse sans s'être préalablement annoncée aux autorités et sans avoir requis l'autorisation d'y prendre un emploi. Aussi, c'est à bon droit que l'ODM a considéré, dans sa décision du 28 septembre 2010, que la recourante avait attenté à la sécurité et à l'ordre publics au sens de l'art. 67 al. 1 let. a LEtr (actuellement: de l'art. 67 al. 2 let. a LEtr) et qu'il a prononcé une interdiction d'entrée à son endroit. L'intéressée ayant fait l'objet d'une décision de renvoi par le SPOMI, l'ODM a également fondé sa décision sur l'ancien art. 67 al. 1 let. c LEtr, disposition qui a toutefois été abrogée le 1er janvier 2011. Ce grief, tout à fait justifié au moment où la décision a été rendue, doit être abandonné dans la mesure où il ne correspond plus à la définition légale. Vu ce qui précède, la décision attaquée est fondée dans son principe.</w:t>
      </w:r>
    </w:p>
    <w:p>
      <w:r>
        <w:rPr>
          <w:b/>
        </w:rPr>
        <w:t>E. 7.1</w:t>
      </w:r>
    </w:p>
    <w:p>
      <w:r>
        <w:t>Il convient encore d'examiner si la mesure d'éloignement querellée, prononcée pour une durée de trois ans, satisfait aux principes de la proportionnalité et d'égalité de traitement. A ce propos, il sied de relever que, dans le cadre de l'échange d'écritures, l'ODM a supprimé le signalement de l'interdiction d'entrée dans le Système d'information Schengen (SIS) compte tenu du fait que la recourante est au bénéfice d'un titre de séjour en Italie, Etat partie aux Accords d'association à Schengen. Cette question n'est donc plus litigieuse.</w:t>
      </w:r>
    </w:p>
    <w:p>
      <w:r>
        <w:rPr>
          <w:b/>
        </w:rPr>
        <w:t>E. 7.2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cf. consid. 3.4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7.3</w:t>
      </w:r>
    </w:p>
    <w:p>
      <w:r>
        <w:t>En l'espèce, au vu de l'ensemble des éléments objectifs et subjectifs de la cause et compte tenu en particulier de la longue période (deux mois et demi) durant laquelle la recourante a, de manière parfaitement consciente, travaillé en Suisse sans autorisation, le Tribunal estime que l'interdiction d'entrée prononcée le 28 septembre 2010 est adéquate et que sa durée respecte le principe de proportionnalité. Par ailleurs, cette mesure n'est pas contraire au principe d'égalité de traitement, au regard des décisions prises par les autorités dans des cas analogues. S'agissant enfin de l'intérêt privé de la recourante à maintenir des relations avec son fiancé, il convient de relever que les intéressés gardent la possibilité de se rencontrer en Italie et que A._______ pourrait également, le cas échéant, solliciter une suspension de l'interdiction d'entrée au sens de l'art. 67 al. 5 LEtr, si des motifs importants justifiaient sa présence temporaire en Suisse. 8.En conséquence, le Tribunal est amené à conclure que la décision querellée, telle qu'elle a été reconsidérée par l'autorité inférieure, est conforme au droit (cf. art. 49 PA). Partant, le recours doit être rejeté, dans la mesure où il n'est pas devenu sans objet. Etant donné que l'autorité inférieure est partiellement revenue sur sa décision dans le cadre de l'échange d'écritures, en annulant le signalement de cette mesure dans le SIS (compte tenu du titre de séjour de la recourante en Italie), il convient d'allouer à l'intéressée des dépens en relation avec cette question. En l'absence de note de frais, et compte tenu de l'ensemble des circonstances, en particulier du faible degré de complexité de cette question, du travail nécessaire pour la motiver dans le recours et du tarif applicable, ceux-ci sont fixés ex aequo et bono à un montant global de Fr. 400.- (TVA et débours compris). Quant aux frais réduits de procédure mis à la charge de la recourante (qui succombe partiellement), ils sont fixés à Fr. 600.-, au regard de l'ampleur et de la difficulté des autres questions (soulevées par l'intéressée) qui ont dû être examinées (cf. art. 63 al. 1 et art. 64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