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C-7644/2007 vom 6. Januar 2009</w:t>
      </w:r>
    </w:p>
    <w:p>
      <w:r>
        <w:t>Bundesverwaltungsgericht, 2009-01-06, DE</w:t>
      </w:r>
    </w:p>
    <w:p>
      <w:r>
        <w:rPr>
          <w:b/>
        </w:rPr>
        <w:t xml:space="preserve">Quelle: </w:t>
      </w:r>
      <w:r>
        <w:t>https://mcp.opencaselaw.ch/entscheid/bvger_C-7644_2007</w:t>
      </w:r>
    </w:p>
    <w:p>
      <w:r>
        <w:t>FR: TAF C-7644/2007 du 6 janvier 2009</w:t>
      </w:r>
    </w:p>
    <w:p>
      <w:r>
        <w:t>IT: TAF C-7644/2007 del 6 gennaio 2009</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18. Oktober 2007, welcher gemäss Art. 60 Abs. 2bis BVG eine Verfügung im Sinne von Art. 5 Abs. 1 Bst. a des Bundesgesetzes vom 20. Dezember 1968 über das Verwaltungsverfahren (VwVG; SR 172.021) darstellt. Beschwerden gegen Verfügungen der Auffangeinrichtung beurteilt das Bundesverwaltungsgericht gestützt auf Art. 31 und 33 Bst. h VGG, sofern, wie vorliegend, keine Ausnahme nach Art. 32 VGG vorliegt.</w:t>
      </w:r>
    </w:p>
    <w:p>
      <w:r>
        <w:rPr>
          <w:b/>
        </w:rPr>
        <w:t>E. 1.2</w:t>
      </w:r>
    </w:p>
    <w:p>
      <w:r>
        <w:t>Die Beschwerdeführerin hat gegen die Verfügung vom 18. Oktober 2007 form- und fristgerecht Beschwerde erhoben (Art. 50 und 52 VwVG). Sie hat am vorinstanzlichen Verfahren teilgenommen, ist durch die angefochtene Verfügung in ihren rechtlichen und tatsächlichen Verhältnissen besonders berührt und hat demnach ein schutzwürdiges Interesse an deren Änderung oder Aufhebung (Art. 48 Abs. 1 VwVG). Daher ist sie zur Beschwerde legitimiert. Nachdem die Beschwerdeführerin auch den geforderten Kostenvorschuss einbezahlt hat, ist auf ihre Beschwerde einzutreten.</w:t>
      </w:r>
    </w:p>
    <w:p>
      <w:r>
        <w:rPr>
          <w:b/>
        </w:rPr>
        <w:t>E. 2.1</w:t>
      </w:r>
    </w:p>
    <w:p>
      <w:r>
        <w:t>Obligatorisch zu versichern ist jeder Arbeitnehmer, der das 17. Altersjahr vollendet hat und bei einem Arbeitgeber mehr als den gesetzlichen Jahres-Mindestlohn gemäss Art. 2 Abs. 1 des Bundesgesetzes vom 25. Juni 1982 über die berufliche Alters-, Hinterlassenen- und Invalidenvorsorge (BVG, SR 831.40)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2.3</w:t>
      </w:r>
    </w:p>
    <w:p>
      <w:r>
        <w:t>Aus der von der Beschwerdeführerin ins Recht gelegten Anschlussvereinbarung mit der Vita Lebensversicherungsgesellschaft, Zürich (act. 1/2) geht hervor, dass sie sich gemäss Art. 11 BVG per 1. Januar 1989 an eine registrierte Vorsorgeeinrichtung angeschlossen hat. Damit ist sie ihrer gesetzlichen Anschlusspflicht nachgekommen. Aus diesem Grund entfällt nachträglich der von der Vorinstanz verfügte Zwangsanschluss gemäss Art. 60 Abs. 2 BVG, was unter den Parteien denn auch nicht mehr strittig ist. Insbesondere anerkennt die Vorinstanz implizit, dass die Beschwerdeführerin den verlangten Nachweis für einen Anschluss gemäss BVG nun rechtsgültig erbracht hat.</w:t>
      </w:r>
    </w:p>
    <w:p>
      <w:r>
        <w:rPr>
          <w:b/>
        </w:rPr>
        <w:t>E. 3</w:t>
      </w:r>
    </w:p>
    <w:p>
      <w:r>
        <w:t>Zu prüfen bleibt vorliegend noch die Frage, ob die Vorinstanz der Beschwerdeführerin die Kosten für den Zwangsanschluss gemäss Dispositivziffer 2 der angefochtenen Verfügung auch dann in Rechnung stellen kann, wenn der Zwangsanschluss aufgrund nachträglich eingereichter Unterlagen nicht vollzogen wird.</w:t>
      </w:r>
    </w:p>
    <w:p>
      <w:r>
        <w:rPr>
          <w:b/>
        </w:rPr>
        <w:t>E. 3.1</w:t>
      </w:r>
    </w:p>
    <w:p>
      <w:r>
        <w:t>Gemäss Art. 11 Abs. 7 BVG stellen die Auffangeinrichtung und die Ausgleichskasse der AHV dem säumigen Arbeitgeber den von ihm verursachten Verwaltungsaufwand in Rechnung. Dadurch dass die Beschwerdeführerin im Verfahren für die Kontrolle der Anschlusspflicht die ihr auferlegten Fristen unbenutzt verstreichen liess, war die Vorinstanz gezwungen, diese zwangsweise anzuschliessen. Erst im Verlauf des vorliegenden Verfahrens erbrachte die Beschwerdeführerin den verlangten Nachweis eines Anschlusses an eine registrierte Vorsorgeeinrichtung, was zur Folge hatte, dass die Voraussetzungen für den Zwangsanschluss nachträglich wegfielen. Die Folgen des verspäteten Nachweises hat die Beschwerdeführerin, die unstrittig bereits ab dem 1. Januar 1989 anschlusspflichtig war, zu vertreten. Ihr Versäumnis hätte sie ohne Weiteres im Rahmen des Verfahrens betreffend die Anschlusskontrolle nachholen können.</w:t>
      </w:r>
    </w:p>
    <w:p>
      <w:r>
        <w:rPr>
          <w:b/>
        </w:rPr>
        <w:t>E. 3.2</w:t>
      </w:r>
    </w:p>
    <w:p>
      <w:r>
        <w:t>Unter diesen Umständen hätte somit die Beschwerdeführerin bei pflichtgemässem Handeln den verfügten Zwangsanschluss und die der Vorinstanz dadurch entstandenen Kosten vermeiden können. Deshalb ist dem Antrag der Vorinstanz zu entsprechen, und ihre Kostenauferlegung gemäss Dispositivziffer 2 der angefochtenen Verfügung zu bestätigen.</w:t>
      </w:r>
    </w:p>
    <w:p>
      <w:r>
        <w:rPr>
          <w:b/>
        </w:rPr>
        <w:t>E. 3.3</w:t>
      </w:r>
    </w:p>
    <w:p>
      <w:r>
        <w:t>Zusammenfassend ist die Beschwerde insofern teilweise gutzuheissen, als die Beschwerdeführerin die Aufhebung des Zwangsanschlusses (Dispositivziffern 1, 3 und 4) beantragt. Im Kostenpunkt (Dispositivziffer 2) wird die angefochtene Verfügung bestätigt und die Beschwerde abgewiesen.</w:t>
      </w:r>
    </w:p>
    <w:p>
      <w:r>
        <w:rPr>
          <w:b/>
        </w:rPr>
        <w:t>E. 4.1</w:t>
      </w:r>
    </w:p>
    <w:p>
      <w:r>
        <w:t>Bei diesem Ausgang des Verfahrens, das einem teilweisen Unterliegen entspricht, wären der Beschwerdeführerin grundsätzlich reduzierte Verfahrenskosten aufzuerlegen (Art. 63 Abs. 1 zweiter Satz VgVG). Für eine Reduktion der Verfahrenskosten besteht freilich kein Anlass, denn die Beschwerdeführerin hat den Grund sowohl für das vorinstanzliche Verfahren als auch für das Beschwerdeverfahren gesetzt, indem sie erst im Rahmen des Beschwerdeverfahrens den Nachweis für einen Anschluss an eine registrierte Vorsorgeeinrichtung vorgelegt hat (vgl. E. 3.1). Damit hat sie das Beschwerdeverfahren durch Verletzung ihrer verfahrensrechtlichen Obliegenheiten zu verantworten (Art. 63 Abs. 3 VwVG). Die Verfahrenskosten sind somit in Anwendung von Art. 63 Abs. 1 VwVG sowie Art. 3 des Reglements vom 21. Februar 2008 über die Kosten und Entschädigungen vor dem Bundesverwaltungsgericht (VGKE, SR 173.320.2) auf Fr. 800.- festzusetzen und der Beschwerdeführerin aufzuerlegen. Diese werden mit dem von ihr geleisteten Kostenvorschuss von Fr. 800.- verrechnet.</w:t>
      </w:r>
    </w:p>
    <w:p>
      <w:r>
        <w:rPr>
          <w:b/>
        </w:rPr>
        <w:t>E. 4.2</w:t>
      </w:r>
    </w:p>
    <w:p>
      <w:r>
        <w:t>Da der teilweise obsiegenden Beschwerdeführerin keine notwendigen und verhältnismässig hohe Kosten erwachsen sind, ist ihr keine Parteientschädigung zuzusprechen (Art. 64 Abs. 1 VwVG e contrario).</w:t>
      </w:r>
    </w:p>
    <w:p>
      <w:r>
        <w:rPr>
          <w:b/>
        </w:rPr>
        <w:t>E. 4.3</w:t>
      </w:r>
    </w:p>
    <w:p>
      <w:r>
        <w:t>Der teilweise obsiegenden Vorinstanz,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