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C-7640/2008 vom 7. September 2010</w:t>
      </w:r>
    </w:p>
    <w:p>
      <w:r>
        <w:t>Bundesverwaltungsgericht, 2010-09-07, DE</w:t>
      </w:r>
    </w:p>
    <w:p>
      <w:r>
        <w:rPr>
          <w:b/>
        </w:rPr>
        <w:t xml:space="preserve">Quelle: </w:t>
      </w:r>
      <w:r>
        <w:t>https://mcp.opencaselaw.ch/entscheid/bvger_C-7640_2008</w:t>
      </w:r>
    </w:p>
    <w:p>
      <w:r>
        <w:t>FR: TAF C-7640/2008 du 7 septembre 2010</w:t>
      </w:r>
    </w:p>
    <w:p>
      <w:r>
        <w:t>IT: TAF C-7640/2008 del 7 settembre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5. November 2008. Der Beschwerdeführer hat frist- und formgerecht (Art. 60 ATSG) Beschwerde erhoben. Durch die Verfügung ist er besonders berührt und hat ein schutzwürdiges Interesse an deren Änderung oder Aufhebung (Art. 59 ATSG), weshalb auf das ergriffene Rechtsmittel einzutreten ist.</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Nach dem Zerfall der Föderativen Volksrepublik Jugoslawien blieben zunächst die Bestimmungen des Abkommens vom 8. Juni 1962 zwischen der Schweizerischen Eidgenossenschaft und der Föderativen Volksrepublik Jugoslawien über Sozialversicherung (SR 0.831. 109.818.1; im Folgenden: Abkommen) für alle Staatsangehörigen des ehemaligen Jugoslawiens anwendbar (BGE 126 V 198 E. 2b, BGE 122 V 381 E. 1 mit Hinweis). Zwischenzeitlich hat die Schweiz mit gewissen Nachfolgestaaten des ehemaligen Jugoslawiens (Kroatien, Slowenien, Mazedonien), nicht aber mit Serbien, neue Abkommen über Soziale Sicherheit abgeschlossen. Für den Antragsteller als serbischer Staatsangehöriger findet demnach weiterhin das schweizerisch-jugoslawische Abkommen Anwendung. Nach Art. 2 des im Zeitpunkt des Erlasses des streitigen Einspracheentscheids vom 21. März 2007 anwendbaren Abkommens stehen die Staatsangehörigen der Vertragsstaaten in ihren Rechten und Pflichten aus den in Art. 1 des Abkommens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anderen, auf Serbien anwendbaren völkerrechtlichen Vereinbarungen. Nach dem Gesagten bestimmt sich vorliegend der Anspruch des Beschwerdeführers auf Leistungen der Invalidenversicherung nach dem schweizerischen Recht, insbesondere dem IVG, der Verordnung über die Invalidenversicherung vom 17. Januar 1961 (IVV, SR 831.201), des ATSG sowie der entsprechenden Verordnung vom 11. September 2002 (ATSV, SR 830.11).</w:t>
      </w:r>
    </w:p>
    <w:p>
      <w:r>
        <w:rPr>
          <w:b/>
        </w:rPr>
        <w:t>E. 4.1</w:t>
      </w:r>
    </w:p>
    <w:p>
      <w:r>
        <w:t>Zu prüfen ist vorliegend, ob der Beschwerdeführer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5. November 2008) eingetretenen Sachverhalt abgestellt wird (BGE 132 V 2 E. 1, 129 V 4 E. 1.2 mit Hinweisen), sind die auf den 1. Januar 2004 in Kraft getretenen Bestimmungen der 4. IV-Revision in der Fassung vom 21. März 2003 (AS 2003 3837) sowie, für die Zeit ab dem 1. Januar 2008, diejenigen der 5. IV-Revision in der Fassung vom 6. Oktober 2006 (AS 2007 5129) anwendbar.</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(in der Fassung ab dem 1. Januar 2004) bei einem Invaliditätsgrad von mindestens 70%, derjenige auf eine Dreiviertelsrente bei einem solchen von mindestens 60%, derjenige auf eine halbe Rente ab einem Grad der Invalidität von 50% und derjenige auf eine Viertelsrente ab einem solchen von 40%. Für den Zeitraum bis zum 31. Dezember 2003 ist ergänzend festzuhalten, dass die unmittelbar vorhergehende Fassung von Art. 28 Abs. 1 IVG ein Anspruch auf eine ganze Invalidenrente bei einem Invaliditätsgrad von mindestens 66 2/3% annahm und keine Dreiviertelsrente vorsah. Gemäss Abs. 1ter dieser Norm werden Renten, die einem Invaliditätsgrad von weniger als 50%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Dabei obliegt die Beurteilung der sich aus einem Gesundheitsschaden ergebenden funktionellen Leistungsfähigkeit (z.B. nur sitzende oder stehende Arbeiten, nur beschränktes Heben/ Tragen von Lasten, Arbeit im Freien oder in geheizten Räumen u.a.) den Ärzten, wogegen die von der IV-Stelle gegebenenfalls heranzuziehenden Fachleute der Berufsberatung bestimmen können, welche ganz konkreten beruflichen Tätigkeiten auf Grund der ärztlichen Angaben und unter Berücksichtigung der übrigen Fähigkeiten der versicherten Person in Frage kommen (Urteil des Bundesgerichts vom 4. Juli 2008, 9C_833/2007 E. 3.3.2 mit Hinweisen, SVR 2001 IV Nr. 10, E. 1). Die rein wirtschaftlichen und rechtlichen Beurteilungen, insbesondere im Zusammenhang mit der Bestimmung der Erwerbsfähigkeit, obliegt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(bei einer im Ausland wohnenden Person wie vorliegend 50%) bleibend erwerbsunfähig bzw. bleibend invalid (vgl. THOMAS LOCHER, Grundriss des Sozialversicherungsrechts, Bern 2003, §52 N13) geworden ist (Bst. a: Dauerinvalidität) oder während eines Jahres ohne wesentlichen Unterbruch zu mindestens 40% (im Ausland 50%) arbeitsunfähig gewesen war (Bst. b: langdauernde Krankheit). Für die Annahme bleibender Invalidität im Sinne von Art. 29 Abs. 1 Bst. a IVG und Art. 29 IVV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5.7</w:t>
      </w:r>
    </w:p>
    <w:p>
      <w:r>
        <w:t>Wurde ein Gesuch wegen fehlender Invalidität abgewiesen, so ist ein neues Gesuch analog der Revision zu behandeln; so ist zu prüfen, ob sich der Gesundheitszustand seit dem Erlass der abweisenden Verfügung derart verschlechtert hat, dass ein Anspruch auf eine Invalidenrente entstanden ist. Dabei ist gemäss Art. 48 Abs. IVG (in der bis zum 31. Dezember 2007 geltenden Fassung) insbesondere zu prüfen, ob ein solcher Anspruch ein Jahr vor Antragstellung, also am 21. November 2004, oder danach bis am 5. November 2008 (Datum der angefochtenen Verfügung) entstanden ist, und wenn ja, in welchem Ausmass.</w:t>
      </w:r>
    </w:p>
    <w:p>
      <w:r>
        <w:rPr>
          <w:b/>
        </w:rPr>
        <w:t>E. 6</w:t>
      </w:r>
    </w:p>
    <w:p>
      <w:r>
        <w:t>Hinsichtlich der diagnostizierten Leiden mit Auswirkung auf die Arbeitsfähigkeit kann festgestellt werden, dass die Diagnosen des Lumbovertebralsyndroms (und der Status nach der Schussverletzung) bereits im Rahmen des ersten Verfahrens, welches zur abweisenden Verfügung vom 24. September 2001 geführt hat, bestanden hatten. Neu dazugekommen ist im Wesentlichen der chronisch depressive Zustand. Zu prüfen ist somit, ob bereits bestehende Leiden sich derart verschlimmert haben, dass sie eine rentenbegründende Invalidität verursacht haben, oder ob eine solche mit dem Hinzukommen der neuen Leiden entstanden ist.</w:t>
      </w:r>
    </w:p>
    <w:p>
      <w:r>
        <w:rPr>
          <w:b/>
        </w:rPr>
        <w:t>E. 6.1</w:t>
      </w:r>
    </w:p>
    <w:p>
      <w:r>
        <w:t>Sowohl dem Rentengesuch des Beschwerdeführers (vgl. act. 28 IV-LU) als auch auch dem am 25. Oktober 2006 ergänzten Fragebogen des Arbeitgebers (vgl. act. 50 IV-LU) ist zu entnehmen, dass der Beschwerdeführer als Bauarbeiter bei der Firma F._______AG in Z._______ (LU) ohne Unterbrüche bis August 2004 einen vollen Lohn bezogen hatte, dies bei normaler Arbeitszeit und ohne Unterbrüche aus gesundheitlichen Gründen. Damit kann bis zu diesem Zeitpunkt keine rentenrelevante Verschlimmerung seines Gesundheitszustandes eingetreten sein, die eine erhebliche Arbeitsunfähigkeit verursacht hat.</w:t>
      </w:r>
    </w:p>
    <w:p>
      <w:r>
        <w:rPr>
          <w:b/>
        </w:rPr>
        <w:t>E. 6.2</w:t>
      </w:r>
    </w:p>
    <w:p>
      <w:r>
        <w:t>Ab dem 26. August 2004 ist der Beschwerdeführer krankgeschrieben worden. Aktenkundige Leiden mit Einfluss auf dessen Arbeitsfähigkeit sind einerseits, wie bereits erwähnt, ein chronischer, mittelgradiger, therapieresistenter depressiver Zustand mit somatischem Syndrom und andererseits ein chronisches Lumbovertebralsyndrom bei degenerativen Veränderungen der LWS (vgl. act. 39 IV-LU). Dabei handelt es sich um labile pathologische Geschehen, so dass ein allfälliger Rentenanspruch erst nach der gesetzlichen Wartezeit von einem Jahr entstehen kann, während welchem der Beschwerdeführer ohne wesentlichen Unterbruch durchschnittlich zu mindestens 50% (vgl. E. 5.5) arbeitsunfähig war (Art. 29 Abs. 1 Bst. b in der bis zum 31. Dezember 2007 gültig gewesenen Fassung). Damit kann vorliegend frühestens im August 2005 ein Versicherungsfall eingetreten sein.</w:t>
      </w:r>
    </w:p>
    <w:p>
      <w:r>
        <w:rPr>
          <w:b/>
        </w:rPr>
        <w:t>E. 6.3.1</w:t>
      </w:r>
    </w:p>
    <w:p>
      <w:r>
        <w:t>Für die Beurteilung, ob in casu beim Beschwerdeführer eine Arbeitsunfähigkeit vorliegt, welche zu einem rentenberechtigenden Invaliditätsgrad führt, ist der Richter, wie bereits ausgeführt wurde, auf die ärztlichen Gutachten und Berichte angewiesen.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Bei einander widersprechenden medizinischen Berichten darf das Gericht den Prozess nicht erledigen, ohne das gesamte Beweismaterial zu würdigen und die Gründe anzugeben, warum es auf die eine und nicht auf die andere medizinische These abstellt (vgl. dazu Urteil des EVG I 268/2005 E. 1.2 vom 26. Januar 2006, BGE 125 V 352 E. 3a). Die Rechtsprechung erachtet es mit dem Grundsatz der freien Beweiswürdigung als vereinbar, Richtlinien für die Beweiswürdigung in Bezug auf bestimmte Formen medizinischer Berichte und Gutachten aufzustellen (BGE 125 V 352 E. 3b; AHI 2001 S. 114 E. 3b). Berichte der behandelnden Ärzte etwa sind aufgrund deren auftragsrechtlicher Vertrauensstellung zum Patienten mit Vorbehalt zu würdigen (BGE 125 V 353 E. 3b/cc). Dies gilt für den allgemein praktizierenden Hausarzt wie auch den behandelnden Spezialarzt (Urteil des EVG I 655/05 E. 5.4 vom 20. März 2006).</w:t>
      </w:r>
    </w:p>
    <w:p>
      <w:r>
        <w:rPr>
          <w:b/>
        </w:rPr>
        <w:t>E. 6.3.2</w:t>
      </w:r>
    </w:p>
    <w:p>
      <w:r>
        <w:t>Die erwähnten ärztlichen Berichte widersprechen sich nicht und sind in sich schlüssig, umfassend und einleichtend. Deren Befunde und Ergebnisse kann ohne Weiteres gefolgt werden.</w:t>
      </w:r>
    </w:p>
    <w:p>
      <w:r>
        <w:rPr>
          <w:b/>
        </w:rPr>
        <w:t>E. 6.4</w:t>
      </w:r>
    </w:p>
    <w:p>
      <w:r>
        <w:t>Der gestützt auf die Angaben der erwähnten Arztberichte durchgeführte Einkommensvergleich ergab einen Invaliditätsgrad von 56%, der nicht beanstandet werden kann, zumal zur Gegenüberstellung des Valideneinkommens (Fr. 59'345.--) und des Invalideneinkommens (Fr. 26'014.61) dieselben Tabellen des Bundesamtes für Statistik betreffend das Baugewerbe, Kat. 4 herangezogen wurden, dies unter Berücksichtigung eines angemessenen leidensbezogenen Abzuges von 10%.</w:t>
      </w:r>
    </w:p>
    <w:p>
      <w:r>
        <w:rPr>
          <w:b/>
        </w:rPr>
        <w:t>E. 6.5</w:t>
      </w:r>
    </w:p>
    <w:p>
      <w:r>
        <w:t>Insgesamt ergibt sich für das Gericht als Zwischenergebnis, dass die Vorinstanz dem Beschwerdeführer ab dem 1. August 2005 zu Recht eine halbe (und nicht eine ganze) Invalidenrente zugesprochen hat. Zu prüfen bleibt somit, ob diese Rente mit Wirkung ab dem 1. August 2006 zu Recht aufgehoben wurde.</w:t>
      </w:r>
    </w:p>
    <w:p>
      <w:r>
        <w:rPr>
          <w:b/>
        </w:rPr>
        <w:t>E. 7.1</w:t>
      </w:r>
    </w:p>
    <w:p>
      <w:r>
        <w:t>Die Verfügung über eine befristete Rente umfasst einerseits die Zusprechung der Leistung und anderseits deren Aufhebung, was das Vorliegen von Revisionsgründen voraussetzt (Art. 17 Abs. 1 ATSG; BGE 133 V 545). Dabei ist der Zeitpunkt der Aufhebung nach Massgabe des analog anwendbaren Art. 88a IVV festzusetzen. Nach dieser Norm kann eine Rente aufgehoben werden, nachdem die Verbesserung der Erwerbsfähigkeit drei Monate ohne wesentliche Unterbrechung angedauert hat (BGE 121 V 264 E. 6b/dd). Ob eine für den Rentenanspruch erhebliche Änderung des Invaliditätsgrades eingetreten und damit der für die Befristung erforderliche Revisionsgrund gegeben ist, beurteilt sich in dieser Konstellation durch Vergleich des Sachverhalts im Zeitpunkt der Rentenzusprechung oder des Rentenbeginns mit demjenigen zur Zeit der Aufhebung der Rente (Urteil des BGer 8C_53/2010 vom 26. Mai 2010 E. 2.2; BGE 125 V 413 E. 2d, 368 E. 2 mit Hinweisen).</w:t>
      </w:r>
    </w:p>
    <w:p>
      <w:r>
        <w:rPr>
          <w:b/>
        </w:rPr>
        <w:t>E. 7.2</w:t>
      </w:r>
    </w:p>
    <w:p>
      <w:r>
        <w:t>Im vorliegenden Fall hat die Vorinstanz die zusprochene halbe Rente deshalb per 31. Juli 2006 aufgehoben, weil der Beschwerdeführer am 15. April 2006 eine ganztägige, befristete Tätigkeit beim bisherigen Arbeitgeber aufgenommen und dort bis am 6. Juli 2006 bei vollem Lohn gearbeitet hat (act. 50 IV-LU). In medizinischer Hinsicht stützt sich die Vorinstanz einzig auf einen Verlaufsbericht der Ambulanten Dienste des Psychiatriezentrums Luzerner-Landschaft vom 24. April 2007, aus welchem hervorgeht, dass ein erneutes Gespräch mit dem Beschwerdeführer vom 21. März 2007 und eine Nachfrage beim ehemaligen Arbeitgeber vom 19. April 2007 ergeben habe, dass der Beschwerdeführer während jenes knapp dreimonatigen Einsatzes im Frühsommer 2006 in der Lage gewesen sei, leichtere körperliche Arbeiten ganztags auszuführen. Allerdings sei er in eine grössere Arbeitsgruppe eingeteilt worden, wo vom Leistungsdruck her ein gewisser Spielraum vorhanden gewesen sei. Der berichtende Psychiater erhielt den Eindruck, dass für leichte körperliche Tätigkeiten eine volle Leistung ganztags nicht erbracht werden konnte und schätzte die Leistung bei ca. 75% ein. Andere ärztliche Untersuchungsberichte für den Zeitraum ab Mitte April 2006 bis November 2008 (Zeitpunkt der Verfügung) sind in den Akten nicht vorhanden, weder in somatischer noch in psychischer Hinsicht. Der sehr allgemeine "Eindruck" eines Arztes während einer einzigen Vorsprache kann jedoch nicht genügen, um dem Gericht zu erlauben, die vorinstanzlich behauptete, anhaltende Verbesserung des Gesundheitszustandes verbindlich und abschliessend beurteilen zu können.</w:t>
      </w:r>
    </w:p>
    <w:p>
      <w:r>
        <w:rPr>
          <w:b/>
        </w:rPr>
        <w:t>E. 7.3</w:t>
      </w:r>
    </w:p>
    <w:p>
      <w:r>
        <w:t>Unter diesen Umständen und insbesondere angesichts der lückenhaften medizinischen Dokumentation muss das Bundesverwaltungsgericht feststellen, dass der rechtserhebliche Sachverhalt vorliegend hinsichtlich der Situation ab dem 1. August 2006 nur ungenügend abgeklärt worden ist. Damit ist der Beschwerdegrund von 49 lit. b VwVG gegeben, was zur teilweisen Aufhebung des angefochtenen Einspracheentscheides führt.</w:t>
      </w:r>
    </w:p>
    <w:p>
      <w:r>
        <w:rPr>
          <w:b/>
        </w:rPr>
        <w:t>E. 8.1</w:t>
      </w:r>
    </w:p>
    <w:p>
      <w:r>
        <w:t>Nach Art. 61 Abs. 1 VwVG kann die Beschwerdeinstanz ausnahmsweise die zu beurteilende Sache, statt selbst zu entscheiden, mit verbindlichen Weisungen an die Vorinstanz zurückweisen. Ein solcher Ausnahmefall ist hier wegen der in entscheidenden Punkten unvollständigen Akten gegeben, weshalb die Sache an die Vorinstanz zurückgewiesen wird.</w:t>
      </w:r>
    </w:p>
    <w:p>
      <w:r>
        <w:rPr>
          <w:b/>
        </w:rPr>
        <w:t>E. 8.2</w:t>
      </w:r>
    </w:p>
    <w:p>
      <w:r>
        <w:t>Die Vorinstanz hat den Beschwerdeführer in seiner Heimat oder in der Schweiz polydisziplinär, insbesondere in psychischer Hinsicht (Depression) und in somatischer Hinsicht (Lumbovertebralsyndrom), begutachten zu lassen. Die begutachtenden Ärzte müssen sich über die Diagnose, über die Arbeitsfähigkeit im angestammten Beruf und in anderen zumutbaren Tätigkeiten sowie über deren Entwicklung, insbesondere für die Zeitspanne zwischen April 2006 und dem 5. November 2008 (Erlass der angefochtenen Verfügung), bzw. dem Datum der Untersuchung äussern. Danach hat die Vorinstanz einen Einkommensvergleich durchzuführen, dem Beschwerdeführer durch Zustellung eines Vorbescheids das rechtliche Gehör zu gewähren und anschliessend eine neue, wiederum anfechtbare Verfügung zu erlassen.</w:t>
      </w:r>
    </w:p>
    <w:p>
      <w:r>
        <w:rPr>
          <w:b/>
        </w:rPr>
        <w:t>E. 9.1</w:t>
      </w:r>
    </w:p>
    <w:p>
      <w:r>
        <w:t>Es werden keine Verfahrenskosten erhoben (Art. 63 VwVG).</w:t>
      </w:r>
    </w:p>
    <w:p>
      <w:r>
        <w:rPr>
          <w:b/>
        </w:rPr>
        <w:t>E. 9.2</w:t>
      </w:r>
    </w:p>
    <w:p>
      <w:r>
        <w:t>Dem Beschwerdeführer, der sich anwaltlich vertreten liess, ist gemäss Art. 7 des Reglements vom 21. Februar 2008 über die Kosten und Entschädigungen vor dem Bundesverwaltungsgericht (VGKE, SR 173.320.2) eine Parteientschädigung zuzusprechen. Diese wird gestützt auf Art. 14 Abs. 2 VGKE auf Fr. 1'500.-- festgelegt. Das Gesuch um unentgeltliche Rechtspflege wird demnach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