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C-763/2011 vom 29. März 2012</w:t>
      </w:r>
    </w:p>
    <w:p>
      <w:r>
        <w:t>Bundesverwaltungsgericht, 2012-03-29, IT</w:t>
      </w:r>
    </w:p>
    <w:p>
      <w:r>
        <w:rPr>
          <w:b/>
        </w:rPr>
        <w:t xml:space="preserve">Quelle: </w:t>
      </w:r>
      <w:r>
        <w:t>https://mcp.opencaselaw.ch/entscheid/bvger_C-763_2011</w:t>
      </w:r>
    </w:p>
    <w:p>
      <w:r>
        <w:t>FR: TAF C-763/2011 du 29 mars 2012</w:t>
      </w:r>
    </w:p>
    <w:p>
      <w:r>
        <w:t>IT: TAF C-763/2011 del 29 marzo 2012</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si applicano quindi in concreto, mentre non sono applicabili le norme della 6a revisione della LAI (primo pacchetto di misure), in vigore dal 1° gennaio 2012 (RU 2011 5659; FF 2010 1603).</w:t>
      </w:r>
    </w:p>
    <w:p>
      <w:r>
        <w:rPr>
          <w:b/>
        </w:rPr>
        <w:t>E. 4</w:t>
      </w:r>
    </w:p>
    <w:p>
      <w:r>
        <w:t>La ricorrente contesta la fondatezza della decisione del 21 dicembre 2010, con la quale l'UAIE non è entrata in materia sulla sua domanda di revisione del 14 settembre 2010.</w:t>
      </w:r>
    </w:p>
    <w:p>
      <w:r>
        <w:rPr>
          <w:b/>
        </w:rPr>
        <w:t>E. 5.1</w:t>
      </w:r>
    </w:p>
    <w:p>
      <w:r>
        <w:t>Secondo l'art. 17 cpv. 1 LPGA, se il grado d'invalidità del beneficiario della rendita subisce una notevole modificazione, per il futuro la rendita è aumentata o ridotta proporzionalmente o soppressa, d'ufficio o su richiesta.</w:t>
      </w:r>
    </w:p>
    <w:p>
      <w:r>
        <w:rPr>
          <w:b/>
        </w:rPr>
        <w:t>E. 5.2</w:t>
      </w:r>
    </w:p>
    <w:p>
      <w:r>
        <w:t>Conformemente all'art. 87 cpv. 3 dell'Ordinanza federale su l'assicurazione per l'invalidità del 17 gennaio 1961 (OAI, RS 831.201), se è stata inoltrata domanda di revisione, nella domanda si deve dimostrare che il grado d'invalidità si è modificato in misura rilevante per il diritto alle prestazioni. In questo caso, l'aumento della rendita avverrà al più presto a partire dal mese in cui la domanda è stata inoltrata (art. 88bis cpv. 1 lett. a OAI). Il punto di partenza per la valutazione di una modifica, e quindi anche per l'esame di verosimiglianza, del grado d'invalidità suscettiva di incidere notevolmente sul diritto alla prestazione è dato, dal profilo temporale, dall'ultima decisione cresciuta in giudicato che è stata oggetto di un esame materiale del diritto alla rendita dopo contestuale accertamento pertinente dei fatti, apprezzamento delle prove e determinazione del grado d'invalidità (DTF 133 V 108 e 130 V 71).</w:t>
      </w:r>
    </w:p>
    <w:p>
      <w:r>
        <w:rPr>
          <w:b/>
        </w:rPr>
        <w:t>E. 5.3</w:t>
      </w:r>
    </w:p>
    <w:p>
      <w:r>
        <w:t>La verosimiglianza richiesta dall'art. 87 cpv. 3 OAI non è la verosimiglianza preponderante altrimenti valida nel diritto delle assicurazioni sociali. Il grado della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(v. sentenza 8C_947/2011 del Tribunale federale, del 27 gennaio 2012, e la giurisprudenza citata).</w:t>
      </w:r>
    </w:p>
    <w:p>
      <w:r>
        <w:rPr>
          <w:b/>
        </w:rPr>
        <w:t>E. 5.4</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5.5</w:t>
      </w:r>
    </w:p>
    <w:p>
      <w:r>
        <w:t>In conformità con una giurisprudenza costante, al fine di giudicare se vi sono indizi sufficienti per ritenere verosimile una modifica rilevante del grado d'invalidità, si deve tenere conto anche del lasso di tempo intercorso tra la precedente decisione e quella che rifiuta di entrare in materia sulla domanda di revisione: gli indizi devono essere più circostanziati quando questo lasso di tempo è breve (Sozialversicherungsrecht, Rechtsprechung [SVR] 2002 IV n. 10 consid. 1c/aa, non pubblicato, in DTF 127 V 294).</w:t>
      </w:r>
    </w:p>
    <w:p>
      <w:r>
        <w:rPr>
          <w:b/>
        </w:rPr>
        <w:t>E. 5.6</w:t>
      </w:r>
    </w:p>
    <w:p>
      <w:r>
        <w:t>In concreto, occorre ritenere che l'UAIE ha proceduto, nel quadro della quarta revisione d'ufficio, conclusasi con la comunicazione del 9 dicembre 2008 (doc. 154), ad un accertamento pertinente dei fatti d'ordine medico e della loro incidenza sull'incapacità di guadagno della ricorrente. Il periodo d'esame nell'ambito della presente procedura copre quindi il lasso di tempo che intercorre tra il 9 dicembre 2008 e il 21 dicembre 2010, data della decisione impugnata.</w:t>
      </w:r>
    </w:p>
    <w:p>
      <w:r>
        <w:rPr>
          <w:b/>
        </w:rPr>
        <w:t>E. 6.1</w:t>
      </w:r>
    </w:p>
    <w:p>
      <w:r>
        <w:t>Dai documenti medici all'incarto e, segnatamente, dalla perizia particolareggiata E 213 del dott. C._______, medico dell'INPS, del 1° settembre 2008 (doc. 150), nonché dalle prese di posizione dei dott.ri E._______ e G._______, medici dell'UAIE, del 12 ottobre 2010, rispettivamente del 23 marzo e del 1° giugno 2011 (doc. 168, 174 e 176), emerge la diagnosi di sindrome fibromialgica a moderata incidenza funzionale, di esiti da intervento di correzione dell'alluce valgo e delle dita bilateralmente, come pure di sindrome ansioso depressiva lieve.</w:t>
      </w:r>
    </w:p>
    <w:p>
      <w:r>
        <w:rPr>
          <w:b/>
        </w:rPr>
        <w:t>E. 6.2</w:t>
      </w:r>
    </w:p>
    <w:p>
      <w:r>
        <w:t>Nell'ambito della domanda di revisione del 14 settembre 2010, il dott. E._______ ha ribadito, mediante presa di posizione del 12 ottobre 2010, che la documentazione prodotta dalla ricorrente non apportava nulla di nuovo sul piano diagnostico e dell'incapacità lavorativa, gli episodi bronchitici invernali, i semplici disturbi degenerativi della colonna cervicale, l'assenza di segni patologici significativi interessanti le spalle nonché l'assenza di qualsiasi descrizione clinica della sindrome depressiva, tra l'altro qualificata di reattiva, non dimostrando oggettivamente alcun aggravamento dello stato di salute della ricorrente. Anche il dott. G._______, nelle sue due prese di posizione del 23 marzo e del 1° giugno 2011, intervenute nel corso della presente procedura, ha rilevato che i certificati del dott. F._______, del 18 gennaio e del 6 maggio 2011, praticamente identici, non fanno stato di alcun peggioramento funzionale rilevante dello stato di salute della ricorrente, precisando che i cosiddetti "tender-point" positivi, relativi alla fibromialgia, non riguardano le articolazioni dei piedi, contrariamente a quanto indicato dallo stesso dott. F._______, ma che essi costituiscono in generale un ausilio diagnostico per determinare la presenza di un'eventuale malattia fibromialgica di per sé non invalidante.</w:t>
      </w:r>
    </w:p>
    <w:p>
      <w:r>
        <w:rPr>
          <w:b/>
        </w:rPr>
        <w:t>E. 6.3</w:t>
      </w:r>
    </w:p>
    <w:p>
      <w:r>
        <w:t>Visto quanto precede, il Tribunale amministrativo federale può affermare che la documentazione esibita nell'ambito della domanda di revisione e della presente procedura non evidenzia alcun nuovo elemento di rilievo a favore della tesi di un peggioramento rilevante dello stato di salute della ricorrente durante il periodo d'esame pertinente, ossia dal 9 dicembre 2008 al 21 dicembre 2010. Siccome la ricorrente non ha dimostrato che il grado della sua invalidità si è modificato in misura rilevante durante questo periodo, è a giusto titolo che l'UAIE non è entrato nel merito della domanda di revisione. Di conseguenza, la decisione dell'UAIE del 21 dicembre 2010 deve essere confermata ed il ricorso respinto.</w:t>
      </w:r>
    </w:p>
    <w:p>
      <w:r>
        <w:rPr>
          <w:b/>
        </w:rPr>
        <w:t>E. 7</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8</w:t>
      </w:r>
    </w:p>
    <w:p>
      <w:r>
        <w:t>Secondo l'art. 63 cpv. 1 PA, le spese processuali sono di regola messe a carico della parte soccombente. In concreto, visto l'esito della procedura che vede la ricorrente soccombere, le spese processuali di Fr. 400.- sono poste a carico di quest'ultima e compensate con l'anticipo dello stesso ammontare, versato il 2 maggio 2011.In conformità con l'art. 64 cpv. 1 PA, l'autorità di ricorso, se ammette il ricorso in tutto o in parte, può assegnare al ricorrente una indennità per le spese indispensabili e relativamente elevate che ha sopportato (spese ripetibili).Visto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