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C-7632/2008 vom 19. April 2010</w:t>
      </w:r>
    </w:p>
    <w:p>
      <w:r>
        <w:t>Bundesverwaltungsgericht, 2010-04-19, FR</w:t>
      </w:r>
    </w:p>
    <w:p>
      <w:r>
        <w:rPr>
          <w:b/>
        </w:rPr>
        <w:t xml:space="preserve">Quelle: </w:t>
      </w:r>
      <w:r>
        <w:t>https://mcp.opencaselaw.ch/entscheid/bvger_C-7632_2008</w:t>
      </w:r>
    </w:p>
    <w:p>
      <w:r>
        <w:t>FR: TAF C-7632/2008 du 19 avril 2010</w:t>
      </w:r>
    </w:p>
    <w:p>
      <w:r>
        <w:t>IT: TAF C-7632/2008 del 19 aprile 2010</w:t>
      </w:r>
    </w:p>
    <w:p>
      <w:pPr>
        <w:pStyle w:val="Heading2"/>
      </w:pPr>
      <w:r>
        <w:t>Regeste</w:t>
      </w:r>
    </w:p>
    <w:p>
      <w:r>
        <w:t>Evaluation de l'invalidité</w:t>
      </w:r>
    </w:p>
    <w:p>
      <w:pPr>
        <w:pStyle w:val="Heading2"/>
      </w:pPr>
      <w:r>
        <w:t>Erwägungen</w:t>
      </w:r>
    </w:p>
    <w:p>
      <w:r>
        <w:rPr>
          <w:b/>
        </w:rPr>
        <w:t>E. 1</w:t>
      </w:r>
    </w:p>
    <w:p>
      <w:r>
        <w:t>Sous réserve des exceptions - non réalisées en l'espèce -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l'assurance-invalidité peuvent être contestées devant le Tribunal administratif fédéral conformément à l'art. 69 al. 1 let. b de la loi fédérale du 19 juin 1959 sur l'assurance-invalidité (LAI, RS 831.20), celui-ci étant dès lors compétent pour connaître de la présente cause.</w:t>
      </w:r>
    </w:p>
    <w:p>
      <w:r>
        <w:rPr>
          <w:b/>
        </w:rPr>
        <w:t>E. 2.1</w:t>
      </w:r>
    </w:p>
    <w:p>
      <w:r>
        <w:t>En vertu de l'art. 3 let. dbis PA, la procédure en matière d'assurances sociales n'est pas régie par la PA dans la mesure où la loi fédérale du 6 octobre 2000 sur la partie générale du droit des assurances sociales (LPGA, RS 830.1) est applicable. Selon l'art. 1 al. 1 LAI, les dispositions de la LPGA s'appliquent à l'assurance-invalidité (art. 1a à 26bis et 28 à 70), à moins que la LAI ne déroge à la LPGA.</w:t>
      </w:r>
    </w:p>
    <w:p>
      <w:r>
        <w:rPr>
          <w:b/>
        </w:rPr>
        <w:t>E. 2.2</w:t>
      </w:r>
    </w:p>
    <w:p>
      <w:r>
        <w:t>La recourante est particulièrement touchée par la décision attaquée et a un intérêt digne de protection à ce qu'elle soit annulée ou modifiée (art. 59 LPGA). Elle a, partant, qualité pour recourir.</w:t>
      </w:r>
    </w:p>
    <w:p>
      <w:r>
        <w:rPr>
          <w:b/>
        </w:rPr>
        <w:t>E. 2.3</w:t>
      </w:r>
    </w:p>
    <w:p>
      <w:r>
        <w:t>Dans la mesure où le recours a été introduit dans le délai (pce 1 TAF) et la forme prescrits (art. 60 LPGA et 52 PA), l'avance de frais fournie dans le délai (cf. pces 7 à 9 TAF), il est entré en matière sur le fond du recours.</w:t>
      </w:r>
    </w:p>
    <w:p>
      <w:r>
        <w:rPr>
          <w:b/>
        </w:rPr>
        <w:t>E. 3</w:t>
      </w:r>
    </w:p>
    <w:p>
      <w:r>
        <w:t>La recourante est citoyenne d'un Etat membre de la Communauté européenne. Par conséquent, est applicable en l'espèce l'accord du 21 juin 1999 entre la Confédération suisse, d'une part, et la Communauté européenne et ses Etats membres, d'autre part, sur la libre circulation des personnes, entré en vigueur le 1er juin 2002 (ALCP, RS 0.142.112.681) - dont l'Annexe II règle la coordination des systèmes de sécurité sociale (art. 80a LAI). Conformément à l'art. 3 al. 1 du règlement du 14 juin 1971 (CEE) N° 1408/71 du Conseil, les personnes, qui résident sur le territoire de l'un des Etats membres et auxquelles les dispositions dudit règlement sont applicables, sont soumises aux obligations et sont admises au bénéfice de la législation de tout Etat membre dans les mêmes conditions que les ressortissants de celui-ci, sous réserve de dispositions particulières contenues dans ledit règlement. Comme avant l'entrée en vigueur de l'ALCP, le degré d'invalidité d'un assuré qui prétend une rente de l'assurance-invalidité suisse est déterminé exclusivement d'après le droit suisse (art. 40 par. 4 du règlement 1408/71).</w:t>
      </w:r>
    </w:p>
    <w:p>
      <w:r>
        <w:rPr>
          <w:b/>
        </w:rPr>
        <w:t>E. 4</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130 V 445 consid. 1.2 et réf. cit.). Les dispositions de la 5ème révision de la LAI entrées en vigueur le 1er janvier 2008 sont applicables et les dispositions citées ci-après sont, sauf précision contraire, celles en vigueur à compter du 1er janvier 2008. Toutefois, le droit à la rente s'étendant jusqu'au 31 décembre 2007 s'examine à la lumière des anciennes normes.</w:t>
      </w:r>
    </w:p>
    <w:p>
      <w:r>
        <w:rPr>
          <w:b/>
        </w:rPr>
        <w:t>E. 5</w:t>
      </w:r>
    </w:p>
    <w:p>
      <w:r>
        <w:t>La recourante a présenté sa demande de rente le 13 décembre 2007. En dérogation à l'art. 24 LPGA, l'art. 48 al. 2 LAI, dans sa teneur en vigueur jusqu'au 31 décembre 2007, prévoit que si l'assuré présente sa demande de rente plus de douze mois après la naissance du droit, les prestations ne sont allouées que pour les douze mois précédant le dépôt de la demande. Concrètement, le Tribunal peut se limiter à examiner si le recourant avait droit à une rente le 13 décembre 2006 (12 mois avant le dépôt de la demande) ou si le droit à une rente était né entre cette date et le 20 octobre 2008, date de la décision attaquée marquant la limite dans le temps du pouvoir d'examen de l'autorité de recours (ATF 130 V 445 consid. 1.2 et 1.2.1).</w:t>
      </w:r>
    </w:p>
    <w:p>
      <w:r>
        <w:rPr>
          <w:b/>
        </w:rPr>
        <w:t>E. 6</w:t>
      </w:r>
    </w:p>
    <w:p>
      <w:r>
        <w:t>Tout requérant doit remplir cumulativement les conditions suivantes pour avoir droit à une rente de l'assurance-invalidité suisse: être invalide au sens de la LPGA/LAI et avoir versé des cotisations à l'AVS/AI suisse durant une année au moins (art. 36 LAI dans sa teneur en vigueur jusqu'au 31 décembre 2007). A compter du 1er janvier 2008, l'assuré doit toutefois compter au moins trois années de cotisations (art. 36 LAI dans sa nouvelle teneur modifiée le 6 octobre 2006). Dans ce cadre, les cotisations versées à une assurance sociale assimilée d'un Etat membre de l'Union européenne (UE) ou de l'Association européenne de libre échange (AELE) peuvent également être prises en considération, à condition qu'une année au moins de cotisations peut être comptabilisée en Suisse (FF 2005 p. 4065; art. 45 du règlement 1408/71). En l'occurrence, la recourante a versé des cotisations à l'AVS/AI pendant plus de trois années au total (cf. pce 5) et remplit, partant, la condition de la durée minimale de cotisations. Il reste dès lors à examiner si elle est invalide au sens de la LAI.</w:t>
      </w:r>
    </w:p>
    <w:p>
      <w:r>
        <w:rPr>
          <w:b/>
        </w:rPr>
        <w:t>E. 7.1</w:t>
      </w:r>
    </w:p>
    <w:p>
      <w:r>
        <w:t>Aux termes de l'art. 8 LPGA, est réputée invalidité l'incapacité de gain totale ou partielle qui est présumée permanente ou de longue durée. L'art. 4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7.2</w:t>
      </w:r>
    </w:p>
    <w:p>
      <w:r>
        <w:t>L'assuré a droit à un quart de rente s'il est invalide à 40% au moins, à une demi-rente s'il est invalide à 50%, à trois-quarts de rente s'il est invalide à 60% et à une rente entière s'il est invalide à 70% au moins (art. 28 al. 1 LAI en vigueur jusqu'au 31 décembre 2007 et art. 28 al. 2 LAI dès le 1er janvier 2008). Suite à l'entrée en vigueur le 1er juin 2002 de l'accord bilatéral entre la Suisse et la Communauté européenne, la restriction prévue à l'art. 28 al. 1ter LAI (art. 29 al. 4 LAI dès le 1er janvier 2008) - selon laquelle les rentes correspondant à un taux d'invalidité inférieur à 50% ne sont versées qu'aux assurés qui ont leur domicile et leur résidence habituelle en Suisse (art. 13 LPGA) - n'est pas applicable lorsque l'assuré est un ressortissant suisse ou un ressortissant de l'UE et y réside.</w:t>
      </w:r>
    </w:p>
    <w:p>
      <w:r>
        <w:rPr>
          <w:b/>
        </w:rPr>
        <w:t>E. 7.3</w:t>
      </w:r>
    </w:p>
    <w:p>
      <w:r>
        <w:t>Conformément à l'art. 29 al. 1 LAI en vigueur jusqu'au 31 décembre 2007, le droit à une rente prend naissance au plus tôt à la date dès laquelle l'assuré présente une incapacité de gain durable de 40% au moins (lettre a), ou l'assuré a présenté, en moyenne, une incapacité de travail de 40% au moins pendant une année sans interruption notable (lettre b). D'après la jurisprudence constante du Tribunal fédéral, l'art. 29 al. 1 let. a LAI s'applique si l'état de santé de l'assuré est stabilisé et a acquis un caractère essentiellement irréversible affectant la capacité de gain dans une mesure suffisamment grave pour justifier l'octroi d'une rente (art. 29 RAI), l'art. 29 al. 1 let. b LAI si l'état de santé est labile, c'est-à-dire susceptible d'une amélioration ou d'une aggravation (ATF 111 V 21 consid. 2). Une atteinte labile peut être considérée comme relativement stabilisée seulement lorsque son caractère a clairement évolué de manière que l'on puisse prévoir que pratiquement aucun changement notable n'interviendra dans un avenir prévisible (ATF 119 V 102 consid. 4a et les références; arrêt du Tribunal fédéral I 342/05 du 27 juillet 2005). Depuis le 1er janvier 2008, 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au moins.</w:t>
      </w:r>
    </w:p>
    <w:p>
      <w:r>
        <w:rPr>
          <w:b/>
        </w:rPr>
        <w:t>E. 7.4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 dans sa nouvelle teneur en vigueur depuis le 1er janvier 2008).</w:t>
      </w:r>
    </w:p>
    <w:p>
      <w:r>
        <w:rPr>
          <w:b/>
        </w:rPr>
        <w:t>E. 7.5</w:t>
      </w:r>
    </w:p>
    <w:p>
      <w:r>
        <w:t>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115 V 133 consid. 2 et ATF 114 V 310 consid. 3c; arrêt du Tribunal fédéral I 599/04 du 28 juillet 2005 consid. 1.2).</w:t>
      </w:r>
    </w:p>
    <w:p>
      <w:r>
        <w:rPr>
          <w:b/>
        </w:rPr>
        <w:t>E. 7.6</w:t>
      </w:r>
    </w:p>
    <w:p>
      <w:r>
        <w:t>Le taux d'invalidité d'une personne exerçant une activité lucrative est fixé d'après la comparaison des revenus prévue par l'art. 16 LPGA, c'est-à-dire essentiellement selon des considérations économiques (art. 28 al. 2 LAI jusqu' au 31 décembre 2007, art. 28a al. 1 LAI à partir du 1er janvier 2008). Ainsi le revenu que l'assuré aurait pu obtenir s'il n'était pas invalide est comparé avec celui qu'il pourrait obtenir en exerçant l'activité qui peut raisonnablement être exigé de lui après les traitements et les mesures de réadaptation, sur un marché du travail équilibré (méthode générale). L'invalidité des assurés âgés de 20 ans ou plus qui n'exerçaient pas d'activité lucrative avant d'être atteint dans leur santé physique, mentale ou psychique et dont on ne saurait exiger qu'ils exercent une telle activité est déterminée selon l'art. 8 al. 3 LPGA qui dispose que ces personnes sont réputées invalides si l'atteinte les empêche d'accomplir leurs travaux habituels (art. 28 al. 2bis LAI jusqu'au 31 décembre 2007, 28a al. 2 LAI à partir du 1er janvier 2008 et 27 du règlement du 17 janvier 1961 sur l'assurance-invalidité [RAI, RS 831.201]) telles les tâches domestiques (méthode spécifique). Si l'assuré exercait une activité à temps partiel il convient de pondérer les deux méthodes (méthode mixte) en fonction du temps alors attribué à l'activité lucrative et aux activité domestiques (art. 28 al. 2ter LAI jusqu'au 31 décembre 2007, 28a al. 3 LAI à partir du 1er janvier 2008 et 27bis RAI). L'invalidité de l'assuré est évaluée selon l'une ou l'autre de ces trois méthodes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ménage, cela à la lumière de sa situation familiale, sociale, et professionnelle. Il est tenu compte, pour le cas où l'assuré serait demeuré valide, d'éléments tels que la situation financière du ménage, l'éducation des enfants, l'âge de l'assuré, ses qualifications professionnelles, sa formation ainsi que ses affinités et talents personnels (ATF 117 V 195 consid. 3b; arrêt du Tribunal fédéral I 276/05 du 24 avril 2006 consid. 2.3).</w:t>
      </w:r>
    </w:p>
    <w:p>
      <w:r>
        <w:rPr>
          <w:b/>
        </w:rPr>
        <w:t>E. 7.7</w:t>
      </w:r>
    </w:p>
    <w:p>
      <w:r>
        <w:t>S'agissant de l'évaluation des restrictions à l'accomplissement des travaux habituels dans les tâches ménagères, une enquête ménagère motivée et rédigée de façon suffisamment détaillée effectuée au domicile de l'assuré par une personne qualifiée selon les critères posés par l'Office fédéral des assurances sociales (OFAS; Circulaire concernant l'invalidité et l'impotence de l'assurance-invalidité, CIIAI ch. 3090) constitue en règle générale une base appropriée et suffisante pour évaluer les empêchements dans ce domaine (ATF 129 V 67; arrêt du Tribunal fédéral 9C_313/2007 du 8 janvier 2008). Une telle enquête n'est dans la règle pas réalisée s'agissant d'assurés résidant à l'étranger et l'appréciation se fonde sur les avis médicaux et le questionnaire pour les assurés travaillant dans le ménage. Ce questionnaire rempli par les assurés ne peut cependant être assimilé à un rapport d'enquête sur les activités ménagères effectué par un enquêteur habilité auquel la jurisprudence reconnaît, en principe, valeur probante. Ce document ne peut donc, à lui seul, justifier que l'on s'écarte des conclusions retenues par les médecins-conseils de l'office (arrêt du Tribunal fédéral I 407/03 du 15 septembre 2003 consid. 4.3).</w:t>
      </w:r>
    </w:p>
    <w:p>
      <w:r>
        <w:rPr>
          <w:b/>
        </w:rPr>
        <w:t>E. 7.8</w:t>
      </w:r>
    </w:p>
    <w:p>
      <w:r>
        <w:t>En l'espèce l'assurée, de retour en Espagne depuis 1997, n'a pas repris d'activité lucrative et n'a pas fait valoir avoir cherché à en exercer une. Son invalidité doit dès lors être évaluée dans le cadre de l'accomplissement des tâches domestiques, soit en application de la méthode spécifique.</w:t>
      </w:r>
    </w:p>
    <w:p>
      <w:r>
        <w:rPr>
          <w:b/>
        </w:rPr>
        <w:t>E. 8</w:t>
      </w:r>
    </w:p>
    <w:p>
      <w:r>
        <w:t>Il est établi que la recourante souffre essentiellement de discopathies lombaires avec perte de la lordose lombaire. En ce qui concerne la période antérieure au 1er janvier 2008, la let. a de l'art. 29 al. 1 LAI est dès lors inapplicable, eu égard au fait qu'il ne s'agit pas là d'un état de santé stabilisé; seule peut entrer en considération la let. b de cette disposition légale prévoyant en principe une période d'attente d'une année à partir du début de l'incapacité de travail relevante pour la détermination du début du droit à la rente.</w:t>
      </w:r>
    </w:p>
    <w:p>
      <w:r>
        <w:rPr>
          <w:b/>
        </w:rPr>
        <w:t>E. 9</w:t>
      </w:r>
    </w:p>
    <w:p>
      <w:r>
        <w:t>En l'occurrence, l'OAIE retient que la recourante n'est pas limitée dans l'accomplissement de ses tâches ménagères. Le Dr D._______ observe en effet que l'imagerie médicale ne met en évidence que des troubles dégénératifs banaux et du point de vue clinique il n'existe aucune atteinte fonctionnelle significative et considère que la recourante est apte à assumer pleinement ses tâches ménagères. La recourante a par contre avancé que son état de santé l'empêche de vivre normalement. Le tribunal de céans relève que, dans l'E213 du 11 janvier 2008 (pce 7), la Dresse C._______ a constaté que la mobilité des articulation est en général conservée, qu'il n'y a pas de radiculopathie, la mobilité de la colonne cervicale est acceptable et qu'il n'y a pas de déficits fonctionnels objectivables, ni hypotrophie musculaires des membres supérieurs et inférieurs, la force étant conservée et la marche est décrite comme normale. Le médecin de l'INSS considère d'ailleurs qu'il n'y a pas de raison d'admettre une incapacité permanente. Lors d'éventuelles réactivations de la symptomatologie, la recourante doit uniquement éviter de surcharger la colonne vertébrale. Elle conclut d'ailleurs que l'assurée peut exercer des activités mi-lourdes et toute activité adaptée à son état de santé à plein temps. Force est dès lors pour l'autorité de céans de se rallier à l'avis de l'OAIE et de son service médical ainsi qu'à celui du médecin de l'INSS et de considérer que, nonobstant les troubles orthopédiques dont elle souffre, la recourante dispose, en tout état de cause, d'une pleine capacité de travail dans l'activité de ménagère qui exclut le droit à une rente de l'assurance-invalidité suisse.</w:t>
      </w:r>
    </w:p>
    <w:p>
      <w:r>
        <w:rPr>
          <w:b/>
        </w:rPr>
        <w:t>E. 10</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(art. 21 al. 4 LPGA; arrêt I 294/99 du Tribunal fédéral du 4 juillet 2000 consid. 1; ATF 130 V 97 consid. 3.2 et les références citées; ATF 123 V 233 consid. 3c; Ueli Kieser, Schweizerisches Sozial-versicherungsrecht, Zurich/St-Gall 2008, p. 204; Thomas Locher, Grundriss des Sozialversicherungsrechts, 3ème éd., Berne 2003, p. 122 s., 235, 268 ss). Il convient également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 Pratique VSI 1999 p. 247 consid. 1, 1998 p. 296 consid. 3b).</w:t>
      </w:r>
    </w:p>
    <w:p>
      <w:r>
        <w:rPr>
          <w:b/>
        </w:rPr>
        <w:t>E. 11</w:t>
      </w:r>
    </w:p>
    <w:p>
      <w:r>
        <w:t>Il s'ensuit que c'est à juste titre que l'OAIE a rejeté par décision du 20 octobre 2008 la demande de prestations de l'assurance-invalidité suisse déposée par la recourante.</w:t>
      </w:r>
    </w:p>
    <w:p>
      <w:r>
        <w:rPr>
          <w:b/>
        </w:rPr>
        <w:t>E. 12</w:t>
      </w:r>
    </w:p>
    <w:p>
      <w:r>
        <w:t>Vu l'issue de la cause, les frais de procédure, fixés par le Tribunal administratif fédéral à Fr. 300.- sont mis à la charge de la recourante (art. 63 al. 1 PA et art. 3 let. b du règlement du 21 février 2008 concernant les frais, dépens et indemnités fixés par le Tribunal administratif fédéral [FITAF, RS 173.320.2]). Ce montant est compensé avec l'avance de frais fournie, la caisse du Tribunal restituera à la recourante Fr. 19.-. Il n'est pas alloué de dépens (art. 64 al. 1 PA en relation avec les art. 7 ss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