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C-7622/2010 vom 1. Juni 2012</w:t>
      </w:r>
    </w:p>
    <w:p>
      <w:r>
        <w:t>Bundesverwaltungsgericht, 2012-06-01, FR</w:t>
      </w:r>
    </w:p>
    <w:p>
      <w:r>
        <w:rPr>
          <w:b/>
        </w:rPr>
        <w:t xml:space="preserve">Quelle: </w:t>
      </w:r>
      <w:r>
        <w:t>https://mcp.opencaselaw.ch/entscheid/bvger_C-7622_2010</w:t>
      </w:r>
    </w:p>
    <w:p>
      <w:r>
        <w:t>FR: TAF C-7622/2010 du 1 juin 2012</w:t>
      </w:r>
    </w:p>
    <w:p>
      <w:r>
        <w:t>IT: TAF C-7622/2010 del 1 giugno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 par celle-ci et ayant un intérêt digne d'être protégée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est ainsi applicable la LAI modifiée par la 5ème révision, entrée en vigueur le 1er janvier 2008 (RO 2007 5129; FF 2005 4215). X._______ étant de nationalité portugaise, sont également déterminants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entrés en vigueur pour la relation entre la Suisse et les Etats de l'Union européenne le 1er juin 2002 (cf. ATF 133 V 269 consid. 4.2.1, 128 V 317 consid. 1b/aa). Par contre, ne sont pas applicables les dispositions de la 6ème révision de la LAI (premier volet), en vigueur dès le 1er janvier 2012 (RO 2011 5659, FF 2010 1647) ainsi que l'annexe II révisée de l'ALCP et les nouveaux règlements (CEE) n° 883/2004 et 987/2009, en vigueur pour la relation entre la Suisse et les Etats de l'Union européenne depuis le 1er avril 2012 (cf. section A art. 3 et 4 de l'annexe II révisée ALCP, art. 87 par. 1 et art. 90 par. 1 let. c du règlement (CEE) n° 883/2004).</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droit à une rente d'invalidité d'un assuré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w:t>
      </w:r>
    </w:p>
    <w:p>
      <w:r>
        <w:t>X._______ a présenté le 22 juin 2010 une nouvelle demande de prestations AI après que sa première demande a été rejetée par décision du 4 septembre 2007 entrée en force de chose jugée, faute de recours formé à son encontre.</w:t>
      </w:r>
    </w:p>
    <w:p>
      <w:r>
        <w:rPr>
          <w:b/>
        </w:rPr>
        <w:t>E. 4.1</w:t>
      </w:r>
    </w:p>
    <w:p>
      <w:r>
        <w:t>Aux termes de l'art. 87 al. 3 et 4 du Règlement sur l'assurance-invalidité (RAI; RS 831.201), lorsque l'autorité examine une nouvelle demande de l'assuré après un premier refus de prestations, elle n'entrera en matière que s'il apparaît établi de façon plausible que l'invalidité de la personne assurée s'est modifiée de manière à influencer ses droits.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déterminante (ATF 125 V 410 consid. 2b, VSI 2000 242). Si par contre l'administration entre en matière sur la nouvelle demande et examine l'affaire au fond; elle doit vérifier si la modification du degré d'invalidité est réellement intervenue en procédant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130 V 71 consid. 3.2.3, 130 V 343 consid. 3.5). En cas de recours, le même devoir de contrôle quant au fond incombe au juge.</w:t>
      </w:r>
    </w:p>
    <w:p>
      <w:r>
        <w:rPr>
          <w:b/>
        </w:rPr>
        <w:t>E. 4.2</w:t>
      </w:r>
    </w:p>
    <w:p>
      <w:r>
        <w:t>En l'espèce, l'OAIE n'a pas rendu une décision de refus d'entrer en matière sur la nouvelle demande de rente, fondée sur l'art. 87 al. 4 RAI, mais a examiné la demande du 15 février 2010 sur le fond. La question litigieuse en la présente procédure est donc celle de savoir si c'est à juste titre que l'OAIE a rejeté cette nouvelle demande de X._______. Le Tribunal examinera si l'invalidité de la recourante a subi une modification en comparant les faits tels qu'ils se présentaient à l'époque de la première décision du 4 septembre 2007 et ceux qui ont existé jusqu'au 13 septembre 2010, date de la décision litigieuse qui marque la limite dans le temps du pouvoir d'examen de l'autorité de recours (ATF 129 V 4 consid. 2.1 et 121 V 366 consid. 1b).</w:t>
      </w:r>
    </w:p>
    <w:p>
      <w:r>
        <w:rPr>
          <w:b/>
        </w:rPr>
        <w:t>E. 5</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X._______, remplit la condition liée à la durée minimale de cotisations (cf. extrait du compte individuel [AI pce 6]). Il reste à examiner si l'assurée est invalide au sens de la loi suisse.</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invalidé à 40% au moins.</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Selon l'assurance-invalidité suisse, la notion d'invalidité est de nature juridique-économique et non médicale (ATF 116 V 246 consid. 1b). Seules les pertes économiques liées à une atteinte à la santé sont assurées. En cas d'incapacité de travail de longue durée, l'activité qui peut être exigée de l'assuré peut relever d'une autre profession ou d'un autre domaine d'activité (art. 6 LPGA). L'incapacité professionnelle, c'est-à-dire l'incapacité à travailler dans sa profession habituelle, n'est pas assurée. Si la personne assurée est en mesure d'exercer une autre activité raisonnablement exigible sans subir une perte de gain importante, elle n'est pas réputée invalide au sens de la loi (Circulaire de l'Office fédéral des assurances sociales sur l'invalidité et l'impotence dans l'assurance-invalidité [CIIAI], chiffre 1021).</w:t>
      </w:r>
    </w:p>
    <w:p>
      <w:r>
        <w:rPr>
          <w:b/>
        </w:rPr>
        <w:t>E. 6.3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et leur résidence habituelle sur le sol de l'un d'eux (cf. l'ALCP, en dérogation à l'art. 29 al. 4 LAI).</w:t>
      </w:r>
    </w:p>
    <w:p>
      <w:r>
        <w:rPr>
          <w:b/>
        </w:rPr>
        <w:t>E. 6.4</w:t>
      </w:r>
    </w:p>
    <w:p>
      <w:r>
        <w:t>Le droit à la rente d'invalidité prend naissance au plus tôt à l'échéance d'une période de six mois à compter de la date à laquelle la personne assurée a fait valoir son droit aux prestations. La rente est versée dès le début du mois au cours duquel le droit prend naissance (cf. art. 29 al. 1 et 3 LAI). Dans le cas d'espèce, le versement d'une rente d'invalidité suisse ne pourrait donc intervenir qu'à partir d'août 2010, six mois après la deuxième demande de prestations du 15 février 2010 (AI pce 61).</w:t>
      </w:r>
    </w:p>
    <w:p>
      <w:r>
        <w:rPr>
          <w:b/>
        </w:rPr>
        <w:t>E. 7</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Dans le cas concret, la décision du 4 septembre 2007 qui a rejeté la première demande de prestations de la recourante s'est fondée sur la prise de position médicale du 16 mai 2007 du Dr A._______ qui a retenu un polytraumatisme avec séquelles moyennes au niveau du membre inférieur droit et un status après pseudarthrose opérée de la clavicule gauche et qui a déterminé une capacité de travail entière dans une activité professionnelle adaptée plutôt sédentaire (AI pces 52 et 59). Sur le plan somatique, le service médical de l'OAIE est d'avis que les rapports versés en cause suite à la nouvelle demande de prestations AI n'indiquent pas de nouvelles pathologies (cf. prises de position médicale du Dr A._______ des 14 juillet et 7 septembre 2010 [AI pces 83 et 90] et prise de position médicale du 25 janvier du Dr K._______ [AI pce 98]). En effet, le Dr C._______, traumatologie et chirurgie orthopédique, a observé le 29 septembre 2008 une gonalgie droite avec claudication et une ostéosynthèse de la clavicule gauche (AI pce 66) et la Dresse F._______ de l'INSS a diagnostiqué le 17 mars 2010 des séquelles du polytraumatisme de la clavicule gauche et du genou droit (cf. le rapport médical détaillé E 213 du 17 mars 2010 [AI pce 72]). Il n'y a dès lors pas lieu de revenir sur l'appréciation médicale du 16 mai 2007 du Dr A._______ (AI pce 52). Du reste, le Dr A._______ et le Dr K._______ ont confirmé cet avis dans leurs rapports ultérieurs (AI pces 83, 90, 98) et la Dresse F._______ partage leurs opinions, estimant que X._______ peut exercer une activité adaptée qui n'implique pas de flexions répétées, le port et la levée de charges, de gravir des plans inclinés, échelles ou escaliers ou un risque de chute (AI pce 72). Au niveau psychiatrique, l'OAIE et son service médical ont également apprécié le syndrome de stress post-traumatique chronique dont l'assurée souffre d'après les différents rapports du service de psychiatrie de l'Hôpital de Z._______ où elle suit un traitement régulier depuis le 22 décembre 2004 (cf. rapport du 3 mars 2008 du Dr B._______ [AI pce 81], rapports des 15 mai 2009, 24 février et 3 décembre 2010 du Dr D._______, chef du service psychiatrique [AI pces 67 et 71, TAF pce 3 annexe], rapport du 18 mai 2008 du Dr E._______ [AI pce 68]; voir aussi la fiche de consultation indiquant 14 thérapies, allant du 9 octobre 2009 au 21 décembre 2010 [TAF pce 3 annexe]). Selon le Dr A._______ ces rapports psychiatriques ne décrivent qu'un syndrome dépressif réactionnel modéré, sans aucun signe de gravité et avec des fluctuations plus ou moins importantes, qui n'est pas incompatible avec l'exercice d'une activité légère adaptée (réponse du 7 septembre 2010 [AI pce 93]). Effectivement les rapports psychiatriques ne relatent qu'une seule aggravation de l'état de santé survenue fin 2005 qui s'est ensuite améliorée suite à une adaptation du traitement médicamenteux (rapport médical du 3 mars 2008 du Dr B._______ [AI pce 81]). Pour le reste, les contenus des rapports sont semblables et les différents psychiatres ne se prononcent pas sur la capacité de travail résiduelle de l'assurée. Le Dr K._______ confirme l'appréciation du Dr A._______ et soutient que la recourante peut exercer une activité adaptée. Il relève par ailleurs que le Dr J._______, dans son expertise médicale du 21 janvier 2008 (TAF pce 1 annexe), a jugé le syndrome de stress post-traumatique comme étant marginal, ne l'ayant pondéré qu'avec 2 points (prise de position médicale du 25 janvier 2011 du Dr K._______ [AI pce 98]). A titre de comparaison, cet expert a attribué aux limitations fonctionnelles de l'épaule gauche 7 points et à l'arthrose post-traumatique du genou droit ainsi qu'à l'ostéosynthèse du fémur gauche 10 points. Enfin, tout comme les Drs A._______ et K._______, la Dresse F._______, ayant fait état de séquelles de polytraumatisme de la clavicule gauche et du genou droit et d'un syndrome de stress post-traumatique, estime que la capacité de travail de la recourante est entière dans une activité adaptée (rapport médical détaillé E 213 du 17 mars 2010 [AI pce 72]). Le Tribunal de céans n'a pas de raisons d'écarter les avis circonstanciés de ces trois médecins qui se fondent sur un dossier médical complet. X._______ ne saurait notamment tirer aucun argument du fait qu'elle touche en Espagne une pension d'invalidité pour une incapacité permanente totale avec effet au 21 décembre 2007, le droit à une rente d'invalidité suisse étant déterminé exclusivement d'après le doit suisse (cf. consid. 3.3 ci-dessus). Il est vrai que le Dr H._______, le médecin de famille, dans son rapport du 17 août 2010 indique que sa patiente présente de limitations fonctionnelles qui l'empêchent de réaliser son travail habituel (AI pce 90). Cependant, non seulement, selon l'expérience, le médecin traitant est généralement enclin, en cas de doute, à prendre parti pour son patient en raison de la relation de confiance qu'il unit à ce dernier (ATF 125 V 351 consid. 3b/cc et les références), mais encore, son rapport particulièrement succinct ne peut mettre en doute les avis motivés des Drs A._______, K._______ et F._______. En outre, le suivi du traitement médicamenteux et thérapeutique - environ une consultation par mois (cf. la fiche de consultations [TAF pce 3 annexe]) - n'empêche pas l'exercice d'une profession et les limitations fonctionnelles de la recourante ont déjà été prises en considération lors de la première décision du 4 septembre 2007; de surcroît, les Drs A._______, K._______ et F._______ ont ultérieurement confirmé l'appréciation médicale à la base de cette décision (cf. ci-dessus).</w:t>
      </w:r>
    </w:p>
    <w:p>
      <w:r>
        <w:rPr>
          <w:b/>
        </w:rPr>
        <w:t>E. 8.2</w:t>
      </w:r>
    </w:p>
    <w:p>
      <w:r>
        <w:t>X._______ soulevant être limitée dans ses activités, il est utile de relever que, selon un principe général valable en assurances sociales suisses, la personne assurée a l'obligation de diminuer le dommage et doit entreprendre de son propre chef tout ce qu'on peut raisonnablement attendre d'elle afin d'atténuer autant que possible les conséquences de son invalidité (ATF 123 V 96 consid. 4 c, 115 V 53, 114 V 285 consid. 3, 11 V 239 consid. 2a; Ulrich Meyer Blaser, Zum Verhältnismässigkeitsgrundsatz im staatlichen Leistungsrecht, thèse, Berne 1985, p. 131). Par exemple, l'on peut exiger qu'elle accepte, comme en l'espèce, une activité adaptée à son état de santé afin de réduire sa perte de gain même si cela signifie qu'elle doit abandonner son activité habituelle.</w:t>
      </w:r>
    </w:p>
    <w:p>
      <w:r>
        <w:rPr>
          <w:b/>
        </w:rPr>
        <w:t>E. 8.3</w:t>
      </w:r>
    </w:p>
    <w:p>
      <w:r>
        <w:t>Il convient également de souligner qu'en Suisse ni l'âge, ni la situation familiale ou économique, en particulier un marché de l'emploi local, ni un arrêt prolongé de l'activité professionnelle ne constituent un critère relevant pour l'octroi d'une rente d'invalidité, étant des facteurs étrangers à l'invalidité assurée (arrêt du Tribunal administratif fédéral I 175/04 du 28 janvier 2005 consid. 3; Jurisprudence et pratique administrative des autorités d'exécution de l'AVS/AI (VSI) 1999 p. 247 consid. 1, 1998 p. 296 consid. 3b).</w:t>
      </w:r>
    </w:p>
    <w:p>
      <w:r>
        <w:rPr>
          <w:b/>
        </w:rPr>
        <w:t>E. 9</w:t>
      </w:r>
    </w:p>
    <w:p>
      <w:r>
        <w:t>Au vu de ce qui précède, il appert que la décision litigieuse doit être confirmée et le recours du 7 décembre 2010 rejeté. Celui-ci étant manifestement infondé, il convient de statuer sur le présent litige dans une procédure à juge unique (art. 85bis al. 3 de la loi sur l'assurance-vieillesse et survivants, LAVS [RS 831.10] en relation avec l'art. 69 al. 2 LAI).</w:t>
      </w:r>
    </w:p>
    <w:p>
      <w:r>
        <w:rPr>
          <w:b/>
        </w:rPr>
        <w:t>E. 10</w:t>
      </w:r>
    </w:p>
    <w:p>
      <w:r>
        <w:t>Vu l'issu du litige, les frais de procédure, fixés à Fr. 400.-, sont mis à la charge de la recourante (art. 63 al. 1 PA, applicable par le truchement de l'art. 37 LTAF). Ils sont compensés par l'avance de frais du même montant dont la recourante s'est acquitté au cours de l'instruction (TAF pces 7à 9 et 11 à 13). Il n'est pas alloué de dépens, l'OAIE, en sa qualité d'autorité, n'y ayant pas droit (art. 64 al. 1 PA et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