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C-7620/2007 vom 5. März 2009</w:t>
      </w:r>
    </w:p>
    <w:p>
      <w:r>
        <w:t>Bundesverwaltungsgericht, 2009-03-05, DE</w:t>
      </w:r>
    </w:p>
    <w:p>
      <w:r>
        <w:rPr>
          <w:b/>
        </w:rPr>
        <w:t xml:space="preserve">Quelle: </w:t>
      </w:r>
      <w:r>
        <w:t>https://mcp.opencaselaw.ch/entscheid/bvger_C-7620_2007</w:t>
      </w:r>
    </w:p>
    <w:p>
      <w:r>
        <w:t>FR: TAF C-7620/2007 du 5 mars 2009</w:t>
      </w:r>
    </w:p>
    <w:p>
      <w:r>
        <w:t>IT: TAF C-7620/2007 del 5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von Sri Lanka unterliegt der Gesuchsteller damit der Visumspflicht.</w:t>
      </w:r>
    </w:p>
    <w:p>
      <w:r>
        <w:rPr>
          <w:b/>
        </w:rPr>
        <w:t>E. 8.1</w:t>
      </w:r>
    </w:p>
    <w:p>
      <w:r>
        <w:t>Die Vorinstanz verweigerte die Erteilung eines solchen Visums mit der Begründung, die anstandslose und fristgerechte Wiederausreise erscheine nicht als hinreichend gesichert. Zudem seien die finanziellen Garantien im vorliegenden Fall ungenügend.</w:t>
      </w:r>
    </w:p>
    <w:p>
      <w:r>
        <w:rPr>
          <w:b/>
        </w:rPr>
        <w:t>E. 8.2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8.3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8.4</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aber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die Gefechte im Norden des Landes haben seitdem immer weiter zugenommen (Quellen: &lt;http://www.auswaertiges-amt.de&gt;, Stand: November 2008 und &lt;http://www.eda.admin.ch&gt;, Stand: Juli 2008 bzw. Januar 2009; vgl. auch BVGE 2008/2 E. 7.2 bis 7.5). In den vergangenen Wochen und Monaten ist die sri-lankische Armee in die letzten von den tamilischen Rebellen kontrollierten Gebiete vorgerückt und hat die LTTE weiter zurückgedrängt. Doch auch wenn der Armeechef in einer jüngsten Fernsehansprache erklärte, das Ende des 25-jährigen Bürgerkriegs sei in greifbare Nähe gerückt, so ist diese Ankündigung angesichts der vielen gleichartigen Erklärungen in den vergangenen Monaten zu relativieren. Es ist schwer abzuschätzen, über welche Reserven die LTTE noch verfügen. Zudem gibt es seit dem Beginn der jüngsten Offensive im Norden keine unabhängigen Berichte aus dem Krisengebiet mehr, da Journalisten und Helfern der Zugang dorthin verwehrt wird (zur neuesten Entwicklung vgl. Neue Zürcher Zeitung vom 27. Januar 2009, S. 3).</w:t>
      </w:r>
    </w:p>
    <w:p>
      <w:r>
        <w:rPr>
          <w:b/>
        </w:rPr>
        <w:t>E. 8.5</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7.6% die fünftgrösste Gruppe von Asylsuchenden stellte. Im Vergleich zum Jahr 2007 hat sich die Anzahl der Gesuche wegen der sich verschlechternden Sicherheitslage fast verdoppelt (vgl. BFM-Asylstatistik 2008, S. 4 und 9).</w:t>
      </w:r>
    </w:p>
    <w:p>
      <w:r>
        <w:rPr>
          <w:b/>
        </w:rPr>
        <w:t>E. 9.1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9.2</w:t>
      </w:r>
    </w:p>
    <w:p>
      <w:r>
        <w:t>Beim ursprünglich aus Kopay im Norden Sri Lankas (Region Jaffna) stammenden und offenbar seit längerer Zeit in der Nähe von Colombo lebenden Gesuchsteller handelt es sich um einen knapp 37-jährigen, verheirateten Mann. Nachdem ursprünglich noch ein Ferienaufenthalt der ganzen Familie in der Schweiz geplant war (vgl. Einreisegesuche vom 18. Juli 2007), möchte der Eingeladene nunmehr seine hierzulande lebenden Verwandten alleine besuchen. Auf den ersten Blick könnte somit der Umstand, dass er für die Dauer des Besuchsaufenthaltes seine Ehefrau und den mittlerweile 10-jährigen Sohn in der Heimat zurücklassen würde, durchaus für eine gewisse Verwurzelung sprechen. Andererseits zeigt die Erfahrung, dass zurückbleibende Angehörige gerade in Situationen angespannter politischer bzw. wirtschaftlicher Verhältnisse nicht verlässlich davon abhalten können, den Entschluss für eine Emigration zu fällen. Im Gegenteil, der Entscheid kann dort von der Hoffnung getragen sein, die Angehörigen aus dem Ausland effizienter unterstützen und allenfalls später nachziehen zu können. Dass der Zuwanderungsdruck von Personen aus Sri Lanka in grossem Ausmass anhält, wurde bereits erwähnt und vom Beschwerdeführer nicht in Frage gestellt. In diesem Zusammenhang ist darauf hinzuweisen, dass die drei älteren Brüder des Gesuchstellers in der Schweiz leben, was einen starken Bezug schafft und beim Eingeladenen den Wunsch auslösen könnte, es ihnen gleich zu tun.</w:t>
      </w:r>
    </w:p>
    <w:p>
      <w:r>
        <w:rPr>
          <w:b/>
        </w:rPr>
        <w:t>E. 9.3</w:t>
      </w:r>
    </w:p>
    <w:p>
      <w:r>
        <w:t>Entsprechend grosse Bedeutung kommt deshalb den wirtschaftlichen Verhältnissen zu, in denen sich der Eingeladene befindet. Gemäss den eingereichten Beweismitteln (vgl. Arbeitsbestätigung der Firma "X._______" vom 30. Oktober 2007) sowie den Angaben des Beschwerdeführers im vorinstanzlichen Verfahren ist der Gesuchsteller seit Mitte 2006 als Chauffeur bei einer Handelsfirma angestellt und bezieht ein monatliches Einkommen von umgerechnet knapp 200 SFR. Seine Ehefrau soll während drei Jahren bei einem Unternehmen, welches Fiberglas-Boote produziert, als Büroangestellte gearbeitet haben (vgl. Empfehlungsschreiben der Firma "Y._______" vom 13. April 2007). Welcher Erwerbstätigkeit sie heute nachgeht bzw. welches Einkommen sie erzielt, ist nicht bekannt. Dass der Gesuchsteller und seine Familie wohl kaum in wirtschaftlich günstigen Verhältnissen leben dürften, zeigt sich auch im Umstand, dass sämtliche mit dem Besuchsaufenthalt verbundenen Kosten nicht vom Eingeladenen selbst, sondern von den Gastgebern übernommen würden. Von einer starken beruflichen Verwurzelung im Berufsleben, welche den Gesuchsteller verlässlich von einer Emigration abzuhalten vermöchte, kann jedenfalls zum heutigen Zeitpunkt nicht ausgegangen werden.</w:t>
      </w:r>
    </w:p>
    <w:p>
      <w:r>
        <w:rPr>
          <w:b/>
        </w:rPr>
        <w:t>E. 9.4</w:t>
      </w:r>
    </w:p>
    <w:p>
      <w:r>
        <w:t>Unter den gegebenen Umständen durfte die Vorinstanz zu Recht davon ausgehen, es bestehe zu wenig Gewähr im Sinne der massgeblichen Bestimmungen. An der Richtigkeit dieser Einschätzung ändert auch die Tatsache nichts, dass der Gastgeber die rechtzeitige Rückkehr des eingeladenen Bruders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C-6950/2007 vom 7. November 2008 E. 8).</w:t>
      </w:r>
    </w:p>
    <w:p>
      <w:r>
        <w:rPr>
          <w:b/>
        </w:rPr>
        <w:t>E. 10</w:t>
      </w:r>
    </w:p>
    <w:p>
      <w:r>
        <w:t>Bei dieser Sach- und Rechtslage kann offen bleiben, ob von der Vorinstanz zu Recht auch ein zusätzlicher Hinderungsgrund in Form einer beim Beschwerdeführer bestehenden ungenügenden Garantiefähigkeit angenommen wurde (vgl. insb. Ziff. 6 hievor).</w:t>
      </w:r>
    </w:p>
    <w:p>
      <w:r>
        <w:rPr>
          <w:b/>
        </w:rPr>
        <w:t>E. 11</w:t>
      </w:r>
    </w:p>
    <w:p>
      <w:r>
        <w:t>Aus den genannten Gründen ist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12</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