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C-7612/2008 vom 17. März 2010</w:t>
      </w:r>
    </w:p>
    <w:p>
      <w:r>
        <w:t>Bundesverwaltungsgericht, 2010-03-17, DE</w:t>
      </w:r>
    </w:p>
    <w:p>
      <w:r>
        <w:rPr>
          <w:b/>
        </w:rPr>
        <w:t xml:space="preserve">Quelle: </w:t>
      </w:r>
      <w:r>
        <w:t>https://mcp.opencaselaw.ch/entscheid/bvger_C-7612_2008</w:t>
      </w:r>
    </w:p>
    <w:p>
      <w:r>
        <w:t>FR: TAF C-7612/2008 du 17 mars 2010</w:t>
      </w:r>
    </w:p>
    <w:p>
      <w:r>
        <w:t>IT: TAF C-7612/2008 del 17 marzo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BVGE 2009/27 E. 5.2 und E. 5.3).</w:t>
      </w:r>
    </w:p>
    <w:p>
      <w:r>
        <w:rPr>
          <w:b/>
        </w:rPr>
        <w:t>E. 6</w:t>
      </w:r>
    </w:p>
    <w:p>
      <w:r>
        <w:t>Der Anhang I zur Verordnung (EG) Nr. 539/2001 des Rates vom 15. März 2001 (ABl. L 81 vom 21.03.2001, S. 1-7) enthält eine Auflistung derjenigen Staaten, deren Staatsangehörige beim Überschreiten der Aussengrenzen der Schengen-Mitgliedstaaten im Besitz eines Visums sein müssen. Eritrea findet sich in diesem Anhang, weshalb die Gesuchstellerin der Visumspflicht unterliegt.</w:t>
      </w:r>
    </w:p>
    <w:p>
      <w:r>
        <w:rPr>
          <w:b/>
        </w:rPr>
        <w:t>E. 7.1</w:t>
      </w:r>
    </w:p>
    <w:p>
      <w:r>
        <w:t>Gilt es zu beurteilen, ob das Kriterium der gesicherten Wiederausreise erfüllt ist, muss ein zukünftiges Verhalten beurteilt werden. Dazu lassen sich in der Regel keine gesicherten Feststellungen, sondern lediglich Prognosen machen. Dabei sind sämtliche Umstände des Einzelfalles zu würdigen. Anhaltspunkte zur Beurteilung der fristgerechten Wiederausreise können sich aus der allgemeinen Lage im Herkunfts- oder Heimatland der gesuchstellenden Person ergeben. Stammt sie aus einem Land oder einer Region mit politisch oder wirtschaftlich vergleichsweise ungünstigen Verhältnissen, so kann dies darauf hindeuten, dass ihre persönliche Interessenlage nicht mit dem Ziel und Zweck einer zeitlich befristeten Einreisebewilligung im Einklang steht.</w:t>
      </w:r>
    </w:p>
    <w:p>
      <w:r>
        <w:rPr>
          <w:b/>
        </w:rPr>
        <w:t>E. 7.2</w:t>
      </w:r>
    </w:p>
    <w:p>
      <w:r>
        <w:t>Eritrea gehört mit einem Bruttoinlandprodukt (BIP) von USD 279 pro Kopf der Bevölkerung im Jahre 2008 zu den ärmsten Ländern der Welt. Im Human Development Index des Entwicklungsprogramms der Vereinten Nationen figuriert es unter 182 Staaten auf dem 165. Rang (Quelle: Human Development Report 2009 S. 145, im Internet unter www.undp.org &gt; Human Development Reports &gt; Human Development Report 2009, besucht am 15. März 2010). Der Grenzkrieg mit Äthiopien in den Jahren 1998 bis 2000, wiederkehrende Dürreperioden sowie die auf zentrale Planung und Lenkung ausgerichtete Wirtschaftspolitik haben der eritreischen Volkswirtschaft schweren Schaden zugefügt. Die Inflationsrate betrug im Jahre 2008 mindestens 11%. Aufgrund einer nach dem Wehrdienst abzuleistenden nationalen Dienstpflicht steht zudem ein beträchtlicher Teil der Bevölkerung für den Aufbau des Landes nur eingeschränkt zur Verfügung. Weit mehr als die Hälfte der Einwohner (die Angaben gehen bis zu 80 %) leben von der - klimabedingt - mit Unsicherheiten behafteten bzw. ertragsarmen Agrarwirtschaft. Auch in den günstigsten Jahren war Eritrea nicht in der Lage, mehr als 60 % der für die Ernährung der Bevölkerung benötigten Nahrungsmittel selbst zu produzieren. Die eritreische Diaspora erweist sich als dementsprechend gross und ist nach wie vor im Zunehmen begriffen (Quellen [zum Ganzen]: Weltbank, im Internet unter www.worldbank.org &gt; Countries &gt; Eritrea &gt; Overview &gt; Country Brief [Stand: September 2009], Deutsches Auswärtiges Amt, im Internet unter www.auswaertiges-amt.de &gt; Länder, Reisen und Sicherheit &gt; Eritrea &gt; Wirtschaft [Stand: Oktober 2009] sowie U.S. Department of State, im Internet unter www.state.gov/countries &gt; Background Notes &gt; Eritrea [Stand: Februar 2010], alle besucht am 15. März 2010). Die Tendenz zur Auswanderung zeigt sich erfahrungsgemäss besonders stark bei jüngeren und ungebundenen Personen. Ein im Ausland bereits bestehendes, minimales soziales Beziehungsnetz (Verwandte oder Freunde) ist zudem ein wichtiges Element, das den Entscheid auszuwandern erleichtern kann. Im Falle der Schweiz führt dies angesichts der restriktiven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ausländerrechtliche Grundlage zu stellen.</w:t>
      </w:r>
    </w:p>
    <w:p>
      <w:r>
        <w:rPr>
          <w:b/>
        </w:rPr>
        <w:t>E. 8</w:t>
      </w:r>
    </w:p>
    <w:p>
      <w:r>
        <w:t>Die geschilderten Umstände im Herkunftsland der Gesuchstellerin deuten zwar auf ein latentes Risiko einer nicht fristgerechten Wiederausreise hin. Bei der Analyse des Migrationsrisikos sind jedoch nicht nur solch allgemeine Umstände und Erfahrungen, sondern auch sämtliche Gesichtspunkte des konkreten Einzelfalles zu berücksichtigen. Obliegt der gesuchstellenden Person im Heimat- oder Herkunftsstaat beispielsweise eine besondere berufliche, gesellschaftliche oder familiäre Verantwortung, kann dieser Umstand durchaus die Prognose für eine anstandslose Wiederausreise begünstigen. Umgekehrt muss bei Personen, die keine besonderen Verpflichtungen haben, die sie von einer möglichen Emigration abhalten könnten, aufgrund entsprechender Erfahrungen das Risiko eines ausländerrechtlich nicht vorschriftsgemässen Verhaltens nach bewilligter Einreise zu einem Besuchsaufenthalt als hoch eingeschätzt werden. Die Gesuchstellerin ist 28-jährig, ledig und kinderlos. Über ihre persönliche Situation ist ansonsten nichts bekannt. Ihr Vater, für dessen Pflege sie gemäss den Ausführungen in der Beschwerde alleine verantwortlich sein soll, findet ansonsten lediglich in einem vom Beschwerdeführer ausgefüllten Formular zuhanden der kantonalen Migrationsbehörde vom 17. September 2008 Erwähnung, und auch dies nur insofern, als dort angegeben wird, die Gesuchstellerin führe sein Lebensmittelgeschäft und werde diese Tätigkeit nach ihrer Rückkehr in ihr Herkunftsland wieder aufnehmen. Davon, dass sie, wie erwähnt, seine Betreuung wahrnehmen bzw. ihn pflegen würde, war zu jenem Zeitpunkt keine Rede. Weiter wird im erwähnten Formular zwar angegeben, Familienangehörige der Gesuchstellerin lebten in Eritrea, Saudi-Arabien und im Sudan; Angaben zu diesen Personen werden jedoch keine gemacht. Hinsichtlich der Tätigkeit, welche die Gesuchstellerin ausübt, liegen lediglich wenige und zudem widersprüchliche Informationen vor. Gemäss ihren eigenen Angaben im Visumsantrag vom 7. August 2008 geht sie derzeit keiner Beschäftigung nach. Hinsichtlich der von ihr absolvierten Ausbildung geht aus den vorinstanzlichen Akten nichts hervor und auch im Rahmen des Beschwerdeverfahrens ist diesbezüglich nichts bekannt geworden. Der Beschwerdeführer demgegenüber hat einerseits auf dem erwähnten Formular vom 17. September 2008 angegeben, die Gesuchstellerin führe das Lebensmittelgeschäft ihres Vaters, beschwerdeweise andererseits geltend gemacht, sie sei zudem vollumfänglich und alleine für die Pflege des betagten und betreuungsbedürftigen Vaters verantwortlich. Sollte dies tatsächlich zutreffen, ist nicht ersichtlich, wie dessen Betreuung während des einmonatigen Besuchsaufenthalts, welchen die Gesuchstellerin in der Schweiz plant, gewährleistet sein soll. Selbst wenn man daher nicht den Angaben der Gesuchstellerin, sondern denjenigen des Beschwerdeführers folgen sollte, würde sich deren berufliche Zukunft in ihrem Herkunftsland als unklar darstellen und erschiene folglich sehr wenig gesichert und aussichtsreich. Von besonderen beruflichen, familiären oder gesellschaftlichen Verpflichtungen, welche die Wiederausreise der Gesuchstellerin nach einem Besuchsaufenthalt als gesichert erscheinen lassen würden, kann jedenfalls in Anbetracht dieser Umstände ohnehin nicht die Rede sein. Zu berücksichtigen ist auf der anderen Seite ferner, dass mit dem älteren Bruder der Gesuchstellerin bereits ein naher Familienangehöriger in der Schweiz lebt, was - wie ausgeführt - ihre Auswanderungsbereitschaft verstärken könnte. In Anbetracht insbesondere des Bestehens familiärer Bezüge der Gesuchstellerin zur Schweiz auf der einen sowie des Fehlens besonderer, ihre Wiederausreise wahrscheinlich erscheinen lassender Verpflichtungen im Herkunftsland auf der anderen Seite kann ihr hinsichtlich der gesicherten Wiederausreise keine günstige Prognose gestellt werden.</w:t>
      </w:r>
    </w:p>
    <w:p>
      <w:r>
        <w:rPr>
          <w:b/>
        </w:rPr>
        <w:t>E. 9</w:t>
      </w:r>
    </w:p>
    <w:p>
      <w:r>
        <w:t>Unter den geschilderten Umständen durfte die Vorinstanz somit zu Recht davon ausgehen, es bestehe nicht genügend Gewähr für eine gesicherte Wiederausreise der Gesuchstellerin nach einem Besuchsaufenthalt. Daran ändert auch nichts, dass der Beschwerdeführer diese zugesichert hat, ist doch eine solche Garantie weder faktisch noch rechtlich durchsetzbar. Gastgeber können für gewisse finanzielle Risiken im Zusammenhang mit einem Besuchsaufenthalt garantieren, nicht jedoch für ein bestimmtes Verhalten des Gastes (vgl. BVGE 2009/27 E. 9). Damit ist die Einschätzung der Vorinstanz, wonach die für die Ausstellung einer Einreisebewilligung erforderlichen Einreisevoraussetzungen (vgl. E. 5) nicht erfüllt seien, nicht zu beanstanden.</w:t>
      </w:r>
    </w:p>
    <w:p>
      <w:r>
        <w:rPr>
          <w:b/>
        </w:rPr>
        <w:t>E. 10</w:t>
      </w:r>
    </w:p>
    <w:p>
      <w:r>
        <w:t>Aus diesen Darlegungen folgt, dass die angefochtene Verfügung im Lichte von Art. 49 VwVG rechtmässig ist. Die Beschwerde ist daher abzuweisen.</w:t>
      </w:r>
    </w:p>
    <w:p>
      <w:r>
        <w:rPr>
          <w:b/>
        </w:rPr>
        <w:t>E. 11</w:t>
      </w:r>
    </w:p>
    <w:p>
      <w:r>
        <w:t>Bei diesem Ausgang des Verfahrens sind die auf Fr. 600.- festzusetzenden Verfahrenskosten dem Beschwerdeführer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