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C-7604/2006 vom 10. Juli 2007</w:t>
      </w:r>
    </w:p>
    <w:p>
      <w:r>
        <w:t>Bundesverwaltungsgericht, 2007-07-10, DE</w:t>
      </w:r>
    </w:p>
    <w:p>
      <w:r>
        <w:rPr>
          <w:b/>
        </w:rPr>
        <w:t xml:space="preserve">Quelle: </w:t>
      </w:r>
      <w:r>
        <w:t>https://mcp.opencaselaw.ch/entscheid/bvger_C-7604_2006</w:t>
      </w:r>
    </w:p>
    <w:p>
      <w:r>
        <w:t>FR: TAF C-7604/2006 du 10 juillet 2007</w:t>
      </w:r>
    </w:p>
    <w:p>
      <w:r>
        <w:t>IT: TAF C-7604/2006 del 10 luglio 2007</w:t>
      </w:r>
    </w:p>
    <w:p>
      <w:pPr>
        <w:pStyle w:val="Heading2"/>
      </w:pPr>
      <w:r>
        <w:t>Regeste</w:t>
      </w:r>
    </w:p>
    <w:p>
      <w:r>
        <w:t>Krankenversicherung (Übriges)</w:t>
      </w:r>
    </w:p>
    <w:p>
      <w:pPr>
        <w:pStyle w:val="Heading2"/>
      </w:pPr>
      <w:r>
        <w:t>Erwägungen</w:t>
      </w:r>
    </w:p>
    <w:p>
      <w:r>
        <w:rPr>
          <w:b/>
        </w:rPr>
        <w:t>E. 2.1</w:t>
      </w:r>
    </w:p>
    <w:p>
      <w:r>
        <w:t>Das Verfahren vor dem Bundesverwaltungsgericht richtet sich im Wesentlichen nach den Vorschriften des VwVG sowie des VGG, wobei das neue, am 1. Januar 2007 in Kraft getretene Verfahrensrecht anwendbar ist (vgl. Art. 53 Abs. 2 VGG).</w:t>
      </w:r>
    </w:p>
    <w:p>
      <w:r>
        <w:rPr>
          <w:b/>
        </w:rPr>
        <w:t>E. 2.2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 Entsprechend umfassend ist die Kognition des Bundesverwaltungsgerichts.</w:t>
      </w:r>
    </w:p>
    <w:p>
      <w:r>
        <w:rPr>
          <w:b/>
        </w:rPr>
        <w:t>E. 2.3</w:t>
      </w:r>
    </w:p>
    <w:p>
      <w:r>
        <w:t>Nach Art. 62 Absatz 4 VwVG sind Gerichte gemäss dem Grundsatz der Rechtsanwendung von Amtes wegen nicht an die Begründung der Begehren der Parteien gebunden (Art. 62 Abs. 4 VwVG). Sie können eine Beschwerde auch aus anderen als den geltend gemachten Gründen gutheissen oder den angefochtenen Entscheid im Ergebnis mit einer Begründung bestätigen, die von jener der Vorinstanz abweicht (vgl. Fritz Gygi, a.a.O., S. 212).</w:t>
      </w:r>
    </w:p>
    <w:p>
      <w:r>
        <w:rPr>
          <w:b/>
        </w:rPr>
        <w:t>E. 3</w:t>
      </w:r>
    </w:p>
    <w:p>
      <w:r>
        <w:t>Die Beschwerdeführerinnen rügen in ihren Schlussbemerkungen unter anderem die Begründung der Zwischenverfügung, welche indes nur den Zustand bis zum Entscheid in der Sache regelt. Bereits aus diesem Grund ist daher auf diese Kritik - welche sich letztlich auch gegen den Entscheid des Bundesgerichts richtet (vgl. E. 5.2) - nicht näher einzugehen.</w:t>
      </w:r>
    </w:p>
    <w:p>
      <w:r>
        <w:rPr>
          <w:b/>
        </w:rPr>
        <w:t>E. 4.1</w:t>
      </w:r>
    </w:p>
    <w:p>
      <w:r>
        <w:t>Im 2. Titel "Obligatorische Krankenversicherung" regelt das KVG im 2. Abschnitt "Prämien der Versicherten" des Fünften Kapitels "Finanzierung" in Art. 61 die "Grundsätze" betreffend die Festlegung der Prämien der Versicherten. Diese gesetzlichen Grundlagen regeln Folgendes:</w:t>
      </w:r>
    </w:p>
    <w:p>
      <w:r>
        <w:rPr>
          <w:b/>
        </w:rPr>
        <w:t>E. 4.2</w:t>
      </w:r>
    </w:p>
    <w:p>
      <w:r>
        <w:t>Nach Artikel 61 Absatz 1 KVG legt der Versicherer die Prämien für seine Versicherten fest. Soweit das KVG keine Ausnahmen vorsieht, erhebt der Versicherer von seinen Versicherten die gleichen Prämien. Die möglichen Prämienermässigungen werden in Art. 61 Absätze 2, 3 und 3bis KVG geregelt:</w:t>
      </w:r>
    </w:p>
    <w:p>
      <w:r>
        <w:rPr>
          <w:b/>
        </w:rPr>
        <w:t>E. 4.2.1</w:t>
      </w:r>
    </w:p>
    <w:p>
      <w:r>
        <w:t>Nach Absatz 2 kann der Versicherer die Prämien nach den ausgewiesenen Kostenunterschieden kantonal und regional abstufen. Massgebend ist der Wohnort der versicherten Person. Das Bundesamt legt die Regionen für sämtliche Versicherer einheitlich fest.</w:t>
      </w:r>
    </w:p>
    <w:p>
      <w:r>
        <w:rPr>
          <w:b/>
        </w:rPr>
        <w:t>E. 4.2.2</w:t>
      </w:r>
    </w:p>
    <w:p>
      <w:r>
        <w:t>Für Versicherte bis zum vollendeten 18 Altersjahr (Kinder) hat der Versicherer nach Absatz 3 eine tiefere Prämie festzusetzen als für ältere Versicherte (Erwachsene). Er ist berechtigt, dies auch für die Versicherten zu tun, die das 25. Altersjahr noch nicht vollendet haben (junge Erwachsene). Der Bundesrat kann die Prämienermässigungen nach Absatz 3 festlegen (Abs. 3bis).</w:t>
      </w:r>
    </w:p>
    <w:p>
      <w:r>
        <w:rPr>
          <w:b/>
        </w:rPr>
        <w:t>E. 4.2.3</w:t>
      </w:r>
    </w:p>
    <w:p>
      <w:r>
        <w:t>Weitere Prämienermässigungen sieht der Gesetzgeber in Art. 62 KVG für besondere Versicherungsformen (s. nachfolgend Ziff. 2.4; eingeschränkte Wahl der Leistungserbringer, wählbare Franchisen) vor. Die Prämienreduktion für den Fall der Sistierung der Unfalldeckung wird auf Verordnungsebene geregelt (Art. 91a KVV). Sie dient der Koordination zwischen dem Krankenversicherungs- und dem Unfallversicherungsrecht und ist als solche nicht strittig.</w:t>
      </w:r>
    </w:p>
    <w:p>
      <w:r>
        <w:rPr>
          <w:b/>
        </w:rPr>
        <w:t>E. 4.3</w:t>
      </w:r>
    </w:p>
    <w:p>
      <w:r>
        <w:t>Art. 62 KVG regelt die besonderen Versicherungsformen:</w:t>
      </w:r>
    </w:p>
    <w:p>
      <w:r>
        <w:rPr>
          <w:b/>
        </w:rPr>
        <w:t>E. 4.3.1</w:t>
      </w:r>
    </w:p>
    <w:p>
      <w:r>
        <w:t>Gemäss Abs. 1 kann der Versicherer die Prämien für Versicherungen mit eingeschränkter Wahl des Leistungserbringers nach Artikel 41 Absatz 4 KVG vermindern. Nach Abs. 2 kann der Bundesrat weitere Versicherungsformen zulassen, namentlich solche, bei denen: a. die Versicherten die Möglichkeit erhalten, sich gegen eine Prämienermässigung stärker als nach Art. 64 KVG an den Kosten zu beteiligen; b. die Höhe der Prämie der Versicherten sich danach richtet, ob sie während einer bestimmten Zeit Leistungen in Anspruch genommen haben oder nicht. Abs. 2bis bestimmt, dass die Kostenbeteiligung wie auch der Verlust der Prämienermässigung bei Versicherungsformen nach Abs. 2 weder bei einer Krankenkasse noch bei einer privaten Versicherungseinrichtung versichert werden dürfen. Ebenso ist es Vereinen, Stiftungen oder anderen Institutionen verboten, die Übernahme der Kosten, die sich aus diesen Versicherungsformen ergeben, vorzusehen. Von diesem Verbot ausgenommen ist die Übernahme von Kostenbeteiligungen auf Grund öffentlich-rechtlicher Vorschriften des Bundes oder der Kantone. Nach Absatz 3 hat der Bundesrat die besonderen Versicherungsformen näher zu regeln. Er legt insbesondere aufgrund versicherungsmässiger Erfordernisse Höchstgrenzen für die Prämienermässigungen und Mindestgrenzen für die Prämienzuschläge fest. Der Risikoausgleich nach Art. 105 KVG bleibt in jedem Fall vorbehalten.</w:t>
      </w:r>
    </w:p>
    <w:p>
      <w:r>
        <w:rPr>
          <w:b/>
        </w:rPr>
        <w:t>E. 4.3.2</w:t>
      </w:r>
    </w:p>
    <w:p>
      <w:r>
        <w:t>Dem Auftrag zur näheren Regelung der besonderen Versicherungsformen ist der Bundesrat mit dem Erlass von Art. 93 ff. KVV nachgekommen (s. nachfolgend, Ziff. 3).</w:t>
      </w:r>
    </w:p>
    <w:p>
      <w:r>
        <w:rPr>
          <w:b/>
        </w:rPr>
        <w:t>E. 4.4</w:t>
      </w:r>
    </w:p>
    <w:p>
      <w:r>
        <w:t>Die Prämientarife der obligatorischen Krankenpflegeversicherung bedürfen nach Art. 61 Abs. 5 KVG der Genehmigung durch den Bundesrat. Vor der Genehmigung können die Kantone zu den für ihr Gebiet vorgesehenen Prämientarifen Stellung nehmen; das Genehmigungsverfahren darf dadurch nicht verzögert werden.</w:t>
      </w:r>
    </w:p>
    <w:p>
      <w:r>
        <w:rPr>
          <w:b/>
        </w:rPr>
        <w:t>E. 5.1</w:t>
      </w:r>
    </w:p>
    <w:p>
      <w:r>
        <w:t>Mit der Änderung der Verordnung über die Krankenversicherung vom 26. April 2006 (AS 2006 1717) hat der Bundesrat unter anderem eine Regelung betreffend die Reihenfolge der Prämienermässigungen beschlossen. Art. 90b KVV sieht folgende Reihenfolge vor: a. Prämienermässigungen aufgrund der Prämienregionen (Art. 91 Abs. 1 und 2 KVV); b. altersabhängige Prämienermässigungen (Art. 91 Abs. 3 KVV); c. Prämienermässigungen für die wählbaren Franchisen (Art. 95 KVV); d. Prämienermässigungen bei eingeschränkter Wahl der Leistungserbringer (Art. 101 KVV); e. Prämienermässigungen bei Sistierung der Unfalldeckung (Art. 91a KVV).</w:t>
      </w:r>
    </w:p>
    <w:p>
      <w:r>
        <w:rPr>
          <w:b/>
        </w:rPr>
        <w:t>E. 5.2</w:t>
      </w:r>
    </w:p>
    <w:p>
      <w:r>
        <w:t>Neben der Regelung der Reihenfolge der Prämienermässigungen hat der Bundesrat auch Bestimmungen betreffend minimale und maximale Prämienreduktionen erlassen. Für Prämienermässigungen aufgrund der Prämienregionen bestimmt Art. 91 Abs. 1 KVV, dass innerhalb des gleichen Kantons die Differenz für die Prämie der ordentlichen Versicherung mit Unfalldeckung höchstens 15% zwischen der Regeion 1 und der Region 2 (Bst. a) bzw. 10% zwischen der Region 2 und der Region 3 liegen darf (Bst. b). Altersabhängige Prämienermässigungen erfolgen aufgrund der Geburtsjahre (Art. 91 Abs. 3 KVV). Die Höhe der Prämienermässigungen für wählbare Franchisen wird in Art. 95 KVV näher umschrieben. Nach Abs. 2bis darf sie je Kalenderjahr nicht höher sein als 80% des von den Versicherten mit der Wahl der höheren Franchise übernommenen Risikos, sich an den Kosten zu beteiligen. Die Prämienermässigungen wegen eingeschränkter Wahl der Leistungserbringer hat der Bundesrat in Art. 101 KVV geregelt. Prämienermässigungen sind nur zulässig für Kostenunterschiede , die auf die eingeschränkte Wahl der Leistungserbringer sowie auf die Art und Höhe der Entschädigung der Leistungserbringer zurückzuführen sind. Die Kostenunterschiede müssen aufgrund von Erfahrungszahlen von mindestens 5 Rechnungsjahren ausgewiesen sein, andernfalls die Prämien höchstens 20% unter den Prämien der ordentlichen Versicherung liegen dürfen (Abs. 2 u. 3). Hinsichtlich der Prämienermässigungen bei besonderen Versicherungsformen (eingeschränkte Wahl der Leistungserbringer, wählbare Franchisen) legte der Bundesrat in Art. 90c KVV eine minimale Prämie fest. Diese beträgt mindestens 50% der Prämie der ordentlichen Versicherung mit Unfalldeckung für die Prämienregion und Altersgruppe des Versicherten (Abs. 1) und muss im Fall einer Sistierung der Unfalldeckung noch die entsprechende Reduktion erlauben, ohne die 50%-Limite zu unterschreiten (Abs. 2). Die Prämienermässigung bei anderweitiger Versicherung (UVG) beträgt nach Art. 91a Abs. 4 KVV höchstens 7%. Die erwähnten Regelungen sind vom BAG am 9. Juni 2006 per 1. Juli 2006 in einem Kreisschreiben (5.1) erläutert worden.</w:t>
      </w:r>
    </w:p>
    <w:p>
      <w:r>
        <w:rPr>
          <w:b/>
        </w:rPr>
        <w:t>E. 6</w:t>
      </w:r>
    </w:p>
    <w:p>
      <w:r>
        <w:t>Streitig ist einerseits das Vorliegen einer formell-gesetzlichen Rechtsgrundlage von Art. 90b KVV, andererseits materiell die vom Bundesrat festgelegte Reihenfolge der Prämienermässigungen.</w:t>
      </w:r>
    </w:p>
    <w:p>
      <w:r>
        <w:rPr>
          <w:b/>
        </w:rPr>
        <w:t>E. 6.1</w:t>
      </w:r>
    </w:p>
    <w:p>
      <w:r>
        <w:t>Der Bundesrat stützte sich auf seine Zuständigkeit zur Regelung altersabhängiger Prämienermässigungen (Art. 61 Abs. 3 und 3bis KVG), die Zuständigkeit zur Regelung besonderer Versicherungsformen (Art. 62 KVG) sowie auf seinen Auftrag zum Vollzug des KVG und die darauf bezogene Kompetenz zum Erlass von Ausführungsbestimmungen (Art. 96 KVG). Ob diese Kompetenznorm zum Erlass von Art. 90b KVV ausreicht, wird von den Beschwerdeführerinnen in Frage gestellt.</w:t>
      </w:r>
    </w:p>
    <w:p>
      <w:r>
        <w:rPr>
          <w:b/>
        </w:rPr>
        <w:t>E. 6.2</w:t>
      </w:r>
    </w:p>
    <w:p>
      <w:r>
        <w:t>Die Beschwerdeführerinnen berufen sich auf ihre Zuständigkeit zur Festsetzung der Prämien (Art. 61 Abs. 1 KVG). Sie machen geltend, dass von dem dabei statuierten Grundsatz der Gleichbehandlung der Versicherten (vgl. Art. 13 Abs. 2 Bst. a KVG) in den in Art. 61, 62 und 64 KVG vorgesehenen Fällen abgewichen werden könne. Eine Reihenfolge der Gewährung von Rabatten habe der Gesetzgeber nicht festgelegt. Mit dem Erlass von Art. 90b KVV verkehre der Bundesrat die Wirkungen der gesetzlich vorgesehenen besonderen Versicherungsmodelle willkürlich in ihr Gegenteil. Gerade jene Versicherten, welche Modelle wählten, die am stärksten zur Kostendämpfung beitrügen, würden nun bestraft. Die richtige Reihenfolge der Prämienermässigungen ergebe sich aus einem Wechselspiel der sich teilweise ergänzenden, teilweise widersprechenden Prinzipien der sozialen Krankenversicherung. Das KVG räume den Versicherern in einem gesetzlich näher festgelegten Rahmen Organisationsautonomie zu, wobei sich die Kassen konkurrenz- und wettbewerbsgerecht zu verhalten hätten. In diesem Sinne wird gerügt, dass die Reihenfolge der Prämienermässigung auf Gesetzesstufe zu regeln sei, dass die rechtlichen Voraussetzungen einer gesetzesvertretenden Verordnungsregelung nicht erfüllt seien und dass kein Raum für eine Lückenfüllung bestehe.</w:t>
      </w:r>
    </w:p>
    <w:p>
      <w:r>
        <w:rPr>
          <w:b/>
        </w:rPr>
        <w:t>E. 6.3</w:t>
      </w:r>
    </w:p>
    <w:p>
      <w:r>
        <w:t>Nach Ansicht des BAG (vgl. Ziff. 55 des Kommentars vom Januar 2006 zum geplanten Erlass von Art. 90b KVV; http://www.bag.admin.ch/ themen/krankenversicherung/Rechts- und Vollzugsgrundlagen/Entwürfe; zuletzt besucht am 27.6.2007) wirkt sich die Reihenfolge, in der Ermässigungen angewendet werden, je nach den anwendbaren Prämienrabatten auf die Prämienhöhe aus. Zur Sicherstellung der Transparenz gegenüber den Versicherten einerseits sowie der Gleichbehandlung der Versicherer andererseits, und um einen gesunden Wettbewerb unter den Versicherern mittels gezielter Marktregulierung sowie ein effizientes Prämiengenehmigungsverfahren zu ermöglichen, sei es wesentlich, die Reihenfolge festzusetzen, in der die verschiedenen möglichen Prämienermässigungen angewendet werden müssten. Mit der gewählten Reihenfolge könne zudem ein ungewünschter mathematischer Effekt ausgehebelt werden: Art. 95 Abs. 2bis KVV sehe für Prämienermässigungen im Zusammenhang mit wählbaren Franchisen eine Begrenzung in Franken und nicht in Prozenten vor und bewirke damit einen verhältnismässigen Anstieg der Differenz zwischen den Prämien der wählbaren Franchisen mit und ohne Unfalldeckung, wenn die Reduktion bei der Sistierung der Unfalldeckung vor der wahlfranchisebedingten Ermässigung erfolge. Schliesslich müssten ab 2007 die Versicherer die Prämienermässigungen für die Prämienregionen, Altersgruppen, Sistierung der Unfalldeckung und für eingeschränkte Wahl der Leistungserbringer in Prozenten anwenden. Demgegenüber könnten die Prämienermässigungen im Zusammenhang mit den wählbaren Franchisen gemäss Artikel 95 Abs. 2bis KVV in Prozenten und/oder Franken berechnet werden.</w:t>
      </w:r>
    </w:p>
    <w:p>
      <w:r>
        <w:rPr>
          <w:b/>
        </w:rPr>
        <w:t>E. 7</w:t>
      </w:r>
    </w:p>
    <w:p>
      <w:r>
        <w:t>Die Grundprinzipien der sozialen Krankenversicherung sind weder in Art. 117 der Bundesverfassung vom 18. April 1999 (BV, SR 101) noch im KVG selbst (welches gestützt auf den inhaltlich weitgehend gleich lautenden Art.34bis aBV [BS 1.3] erlassen wurde) festgehalten.</w:t>
      </w:r>
    </w:p>
    <w:p>
      <w:r>
        <w:rPr>
          <w:b/>
        </w:rPr>
        <w:t>E. 7.1</w:t>
      </w:r>
    </w:p>
    <w:p>
      <w:r>
        <w:t>Die Ziele des Gesetzgebers beim Erlass des KVG lagen primär darin, eine echte Sozialversicherung zu schaffen, und zwar mittels eines Versicherungsobligatoriums, Kopfprämien, verbunden mit Kostenbeteiligungen der Versicherten sowie Beiträgen der öffentlichen Hand, u.a. Prämienverbilligungen, mittels einer umfassenden Umschreibung der Versicherungsleistungen und Massnahmen gegen die immer schwerer lastenden Kostensteigerungen, welche vorübergehend mit dringlichen Bundesbeschlüssen bekämpft worden waren (AS 1991 2604 u. 1992 1838; vgl. auch Markus Moser, Das KVG von 1996, Regulierung "avant la lettre"? Absichten und Erfahrungen; zugänglich über www.irp.unisg.ch, zuletzt besucht am 27.6.2007). Die Durchführung der sozialen Krankenversicherung wurde den bestehenden Krankenversicherungen übertragen; diese sind dem Grundsatz der Gegenseitigkeit und neu auch jenem der Gleichbehandlung verpflichtet worden (Art. 13 Abs. 2 Bst. a KVG; vgl. BGE 131 V 150). Von einer Definition der sozialen Krankenversicherung und einer Gewichtung der verschiedenen Grundsätze der sozialen Krankenversicherung hat der Gesetzgeber abgesehen. Ebenso hat er nicht abschliessend geregelt, auf welchen Wegen die Kosteneindämmung zu erfolgen hat.</w:t>
      </w:r>
    </w:p>
    <w:p>
      <w:r>
        <w:rPr>
          <w:b/>
        </w:rPr>
        <w:t>E. 7.2</w:t>
      </w:r>
    </w:p>
    <w:p>
      <w:r>
        <w:t>Der Gesetzgeber hat auch keine abschliessende Regelung getroffen, wie die Gestaltung der Prämien zu erfolgen hat. Er hat sich auf einige Grundregeln beschränkt und die Details dem Verordnungsgeber überlassen. Ist im Einzelfall streitig, welchen Regeln Vorrang zu kommt, ist dies vom Richter auslegungsweise zu prüfen (vgl. dazu BGE 128 V 112 Erw. 4b/aa mit Hinweisen).</w:t>
      </w:r>
    </w:p>
    <w:p>
      <w:r>
        <w:rPr>
          <w:b/>
        </w:rPr>
        <w:t>E. 7.3</w:t>
      </w:r>
    </w:p>
    <w:p>
      <w:r>
        <w:t>Nach den gesetzlichen Vorschriften haben zwar grundsätzlich die Versicherer die Prämien für ihre Versicherten festzulegen. Soweit keine gesetzliche Regelung vorliegt, ist die inhaltliche Ausgestaltung des Versicherungsverhältnisses und damit auch die Festlegung der Prämien im Übrigen der Vertragsautonomie der Parteien überlassen (BGE 124 V 203 Erw. 2a und 205 Erw. 3d mit Hinweisen). Diese muss sich an den allgemeinen Rechtsgrundsätzen, wie sie sich aus dem Bundessozialversicherungsrecht und dem übrigen Verwaltungsrecht sowie der Bundesverfassung ergeben, sowie den wesentlichen Prinzipien der sozialen Krankenversicherung orientieren.</w:t>
      </w:r>
    </w:p>
    <w:p>
      <w:r>
        <w:rPr>
          <w:b/>
        </w:rPr>
        <w:t>E. 7.4</w:t>
      </w:r>
    </w:p>
    <w:p>
      <w:r>
        <w:t>Neben dem Grundsatz, dass die Versicherer die Prämien festlegen, hat der Gesetzgeber aber auch besondere Sachverhalte geregelt, welche Prämienermässigungen ermöglichen oder zwingend zur Folge haben. Die Regelung der Einzelheiten hat er wie dargelegt dem Bundesrat übertragen.</w:t>
      </w:r>
    </w:p>
    <w:p>
      <w:r>
        <w:rPr>
          <w:b/>
        </w:rPr>
        <w:t>E. 8.1</w:t>
      </w:r>
    </w:p>
    <w:p>
      <w:r>
        <w:t>Nach Art. 21 KVG überwacht der Bundesrat die Durchführung der Krankenversicherung (Abs. 1). Gemäss Absatz 2 kann das Bundesamt den Versicherern Weisungen zur einheitlichen Anwendung des Bundesrechts erteilen, von ihnen alle erforderlichen Auskünfte und Belege verlangen sowie Inspektionen durchführen. Diese können auch unangekündigt durchgeführt werden. Die Versicherer haben dem Bundesamt freien Zugang zu sämtlichen von ihm im Rahmen der Inspektion als relevant erachteten Informationen zu verschaffen. Sie müssen dem Bundesamt ihre Jahresberichte und Jahresrechnungen einreichen. Missachtet ein Versicherer die gesetzlichen Vorschriften, so ergreift das Bundesamt nach Absatz 5 je nach Art und Schwere der Mängel die folgenden Massnahmen: a. Es sorgt auf Kosten des Versicherers für die Wiederherstellung des gesetzmässigen Zustandes. b. Es verwarnt den Versicherer und fällt Ordnungsbussen aus. c. Es beantragt dem Departement den Entzug der Bewilligung zur Durchführung der sozialen Krankenversicherung. Das Bundesamt kann gemäss Absatz 5bis die Öffentlichkeit in Abweichung von Artikel 33 des Bundesgesetzes über den Allgemeinen Teil des Sozialversicherungsrechts vom 6. Oktober 2000 (ATSG, SR 830.1) über Massnahmen nach Absatz 5 informieren.</w:t>
      </w:r>
    </w:p>
    <w:p>
      <w:r>
        <w:rPr>
          <w:b/>
        </w:rPr>
        <w:t>E. 8.2</w:t>
      </w:r>
    </w:p>
    <w:p>
      <w:r>
        <w:t>Nach Art. 9 Abs. 1 der Organisationsverordnung für das Eidgenössische Departement des Innern vom 28. Juni 2000 (OV-EDI, SR 172.212.1) ist das Bundesamt für Gesundheit die Fachbehörde des Bundes für soziale Sicherheit und für den Bereichen Krankheit und Unfall. Es ist laut Anhang zu Art. 6 Abs. 3 der Regierungs- und Verwaltungsorganisationsverordnung vom 25. November 1998 (RVOV, SR 172.010.1) dem Eidgenössischen Departement des Innern zugeordnet.</w:t>
      </w:r>
    </w:p>
    <w:p>
      <w:r>
        <w:rPr>
          <w:b/>
        </w:rPr>
        <w:t>E. 9</w:t>
      </w:r>
    </w:p>
    <w:p>
      <w:r>
        <w:t>Das Verfahren der Beschwerde an das Bundesverwaltungsgericht ist wie die Beschwerde in öffentlich-rechtlichen Angelegenheiten (bzw. die frühere Verwaltungsgerichtsbeschwerde) auf den individuellen Rechtsschutz ausgerichtet und kennt grundsätzlich keine abstrakte Normenkontrolle (vgl. Art. 5 VwVG in Verb. mit Art. 31 VGG bzw. Art. 82 Bst. a des Bundesgerichtsgesetzes vom 17. Juni 2005 [BGG; SR 173.110]; 128 II 36, 121 II 473 E. 2b S. 478 u. 112 Ia 180 E. 2c S. 185 f., mit Hinweisen). Die Gesetzmässigkeit der strittigen Verordnungsbestimmung Art. 90b KVV ist daher im vorliegenden Beschwerdeverfahren nur vorfrageweise zu prüfen (akzessorische oder inzidente Normenkontrolle); ob bzw. inwieweit eine abstrakte Normenkontrolle dann stattfinden kann, wenn im Rahmen von Beschwerden nach Art. 34 VVG (z.B. Beschwerden gegen Beschlüsse der Kantonsregierungen i.S. Spitallisten) beim Bundesverwaltungsgericht kantonale Erlasse angefochten werden, kann hier offen bleiben.</w:t>
      </w:r>
    </w:p>
    <w:p>
      <w:r>
        <w:rPr>
          <w:b/>
        </w:rPr>
        <w:t>E. 10</w:t>
      </w:r>
    </w:p>
    <w:p>
      <w:r>
        <w:t>Wie die unterschiedlichen Positionen des BAG und der Beschwerdeführerinnen zeigen (s. oben, Ziff. 4.2 u. 4.3), wirken sich die Einschränkungen betreffend die Anwendung der Prämienermässigungen, von welchen hier allerdings nur die Reihenfolge Streitgegenstand bildet, auf die Prämienhöhe aus. Je nachdem, welcher Stellenwert den Prämienermässigungen für die besonderen Versicherungsformen eingeräumt wird, kommt wettbewerblichen Aspekten grössere oder geringere Bedeutung zu.</w:t>
      </w:r>
    </w:p>
    <w:p>
      <w:r>
        <w:rPr>
          <w:b/>
        </w:rPr>
        <w:t>E. 11.1</w:t>
      </w:r>
    </w:p>
    <w:p>
      <w:r>
        <w:t>Wie dargelegt (vgl. vorne, Ziff. 5.3 u. 5.4), hat der Gesetzgeber zwar die Festlegung der Prämien den Versicherern übertragen, daneben aber - ebenfalls auf Gesetzesstufe - jene Versicherungsverhältnisse bestimmt, welche Prämienermässigungen ermöglichen oder erfordern. Dabei hat der Gesetzgeber selbst einzelne Grundsätze festgehalten, darüber hinaus aber den Bundesrat beauftragt, die Einzelheiten zu regeln (vgl. vorne, Ziff. 2 u. 3). Auch wenn in diesen Delegationsnormen nicht ausdrücklich vorgesehen ist, dass der Bundesrat auch eine Reihenfolge der Prämienermässigungen festlegen soll, ist das Bundesverwaltungsgericht aufgrund der dargelegten Rechtslage überzeugt, dass der Bundesrat bereits aufgrund der Kompetenz zum Erlass von Regelungen betreffend Prämienermässigungen zum Erlass von Art. 90b KVV (Reihenfolge der Prämienermässigungen) befugt war.</w:t>
      </w:r>
    </w:p>
    <w:p>
      <w:r>
        <w:rPr>
          <w:b/>
        </w:rPr>
        <w:t>E. 11.2</w:t>
      </w:r>
    </w:p>
    <w:p>
      <w:r>
        <w:t>Erteilt der Gesetzgeber dem Bundesrat den Auftrag, für verschiedene versicherungsmässige Sachverhalte Regelungen betreffend Prämienermässigungen zu erlassen, so kann er dies sinnvollerweise nicht tun, ohne auch koordinierende Regelungen zu erlassen. Die Grenzen solcher koordinierender Regelungen liegen einerseits im materiellen Krankenversicherungsrecht, andererseits in den allgemeinen Rechtsgrundsätzen, wie z.B. dem von den Beschwerdeführerinnen angerufenen Gebot der Verhältnismässigkeit.</w:t>
      </w:r>
    </w:p>
    <w:p>
      <w:r>
        <w:rPr>
          <w:b/>
        </w:rPr>
        <w:t>E. 11.3</w:t>
      </w:r>
    </w:p>
    <w:p>
      <w:r>
        <w:t>Der Vorwurf, Art. 90b KVV fehle eine formell-gesetzliche Grundlage, ist daher unberechtigt. Zu prüfen bleibt im Folgenden, ob sich die mit Art. 90b KVV erlassene Regelung an den formell-gesetzlichen und verfassungsmässigen Rahmen hält.</w:t>
      </w:r>
    </w:p>
    <w:p>
      <w:r>
        <w:rPr>
          <w:b/>
        </w:rPr>
        <w:t>E. 12.1</w:t>
      </w:r>
    </w:p>
    <w:p>
      <w:r>
        <w:t>Die Beschwerdeführerinnen machen im Kern geltend, dass die vom Bundesrat in Art. 90b KVV statuierte Prämienreihenfolge jene Versicherten bestrafe, welche sich für besondere Versicherungsformen entschieden hätten und welche massgeblich zur Kosteneindämmung beitrügen. Sie rügen damit, dass der Bundesrat dem Wettbewerb nicht den ihm zukommenden Stellenwert einräume.</w:t>
      </w:r>
    </w:p>
    <w:p>
      <w:r>
        <w:rPr>
          <w:b/>
        </w:rPr>
        <w:t>E. 12.2</w:t>
      </w:r>
    </w:p>
    <w:p>
      <w:r>
        <w:t>Wie bereits dargelegt (s. vorne, Ziff. 5.1) hat der Gesetzgeber keine Gewichtung der verschiedenen Grundsätze der sozialen Krankenversicherung vorgenommen. Verschiedene Bestimmung tragen zwar dem Wettbewerbsgedanken Rechnung, der Gesetzgeber hat indes davon abgesehen, den Wettbewerb als Grundsatz des Krankenversicherungsrechts festzulegen. Der Gesetzgeber hat denn auch nicht abschliessend geregelt, auf welchen Wegen die Kosteneindämmung zu erfolgen hat.</w:t>
      </w:r>
    </w:p>
    <w:p>
      <w:r>
        <w:rPr>
          <w:b/>
        </w:rPr>
        <w:t>E. 12.3</w:t>
      </w:r>
    </w:p>
    <w:p>
      <w:r>
        <w:t>Auch die angefochtene bundesrätliche Regelung trägt wettbewerbsrechtlichen Aspekten Rechnung (s. vorne, Ziff. 4.3), sie will aber verhindern, dass wettbewerbsrechtliche Regelungen auf Kosten anderer Grundsätze des Krankenversicherungsrechts durchgesetzt werden und das Ergebnis nicht mehr dem Ziel des Gesetzgebers, eine echte Sozialversicherung zu schaffen (s. vorne, Ziff. 5.1), entsprechen.</w:t>
      </w:r>
    </w:p>
    <w:p>
      <w:r>
        <w:rPr>
          <w:b/>
        </w:rPr>
        <w:t>E. 13.1</w:t>
      </w:r>
    </w:p>
    <w:p>
      <w:r>
        <w:t>Nach Art. 36 Abs. 3 BV müssen Einschränkungen von Grundrechten - mit der gerügten Unterdrückung wettbewerblicher Elemente wird sinngemäss die Verletzung der Wirtschaftsfreiheit (Art. 27 BV) und allenfalls der Eigentumsgarantie (Art. 26 BV) gerügt - verhältnismässig sein. Das verfassungsmässige Gebot der Verhältnismässigkeit (Art. 5 Abs. 2 BV) verlangt, dass staatliche Hoheitsakte für das Erreichen eines im übergeordneten öffentlichen Interesse liegenden Zieles geeignet, notwendig und für den Betroffenen zumutbar sein müssen (BGE 130 I 16, S. 19 ff., 128 I 92, S. 95, mit weiteren Hinweisen; Ulrich Häfelin / Georg Müller, Allgemeines Verwaltungsrecht, 5. Aufl., Zürich/Basel/Genf 2006, Rz. 581 f.). Erforderlich ist eine vernünftige Zweck-Mittel-Relation (BGE 127 IV 154 E. 4c S. 161). Wie einem Gutachten des Bundesamtes für Justiz vom 31. Januar 2005 (VPB 70.46) zu entnehmen ist, liegt dem Verhältnismässigkeitsgrundsatz in diesem Bereich der Gedanke zugrunde, dass ein Eingriff in ein Freiheitsrecht in sachlicher, örtlicher und zeitlicher Hinsicht nicht weiter gehen darf, als es das öffentliche Interesse erfordert. Vorliegend hatte der Bundesrat aufgrund der ihm delegierten Rechtsetzungsbefugnis die Verhältnismässigkeitsprüfung in abstrakter Weise selbst vorzunehmen.</w:t>
      </w:r>
    </w:p>
    <w:p>
      <w:r>
        <w:rPr>
          <w:b/>
        </w:rPr>
        <w:t>E. 13.2</w:t>
      </w:r>
    </w:p>
    <w:p>
      <w:r>
        <w:t>Für das Bundesverwaltungsgericht hat der Bundesrat mit Art. 90b KVV in Sachen Reihenfolge der Prämienermässigungen eine Lösung getroffen, welche im Rahmen der hier vorzunehmenden Gesamtwürdigung dem öffentlichen Interesse nicht widerspricht, die - wie dargelegt - einer bundesrechtskonformen Würdigung der dem KVG zu Grunde liegenden Werte entspricht und zudem in einer vernünftigen Zweck-Mittel-Relation steht.</w:t>
      </w:r>
    </w:p>
    <w:p>
      <w:r>
        <w:rPr>
          <w:b/>
        </w:rPr>
        <w:t>E. 13.3</w:t>
      </w:r>
    </w:p>
    <w:p>
      <w:r>
        <w:t>Für letzteres spricht im Übrigen auch der Umstand, dass die Regelung von Art. 90b KVV für alle anderen Versicherer ohne grössere Probleme umsetzbar war.</w:t>
      </w:r>
    </w:p>
    <w:p>
      <w:r>
        <w:rPr>
          <w:b/>
        </w:rPr>
        <w:t>E. 13.4</w:t>
      </w:r>
    </w:p>
    <w:p>
      <w:r>
        <w:t>Schliesslich sei darauf hingewiesen, dass die vom Bundesrat festgelegte Prämienreihenfolge grundsätzlich jener entspricht, welche das KVG bei den entsprechenden materiellen Regelungen gewählt hat: In Art. 61 KVG betreffend die Grundsätze der Prämien der Versicherten regeln Abs. 2 die kantonalen und regionalen Abstufungen und Abs. 3 KVG die Prämien der Kinder und der jungen Erwachsenen. Die besonderen Versicherungsformen werden darauf folgend in Art. 62 KVG geregelt. Die Regelung betreffend anderweitige Versicherungen (UVG) ist aufgrund der besonderen Ausgangslage (keine Regelung im KVG selbst) am Ende geregelt. Für das Bundesverwaltungsgericht ist nicht erkennbar, inwiefern Art. 90b KVV bei der geschilderten Rechtslage unverhältnismässig sein sollte.</w:t>
      </w:r>
    </w:p>
    <w:p>
      <w:r>
        <w:rPr>
          <w:b/>
        </w:rPr>
        <w:t>E. 13.5</w:t>
      </w:r>
    </w:p>
    <w:p>
      <w:r>
        <w:t>Die vom Bundesrat verordnete Prämienreihenfolge erweist sich daher auch im materieller Hinsicht als bundesrechtskonform.</w:t>
      </w:r>
    </w:p>
    <w:p>
      <w:r>
        <w:rPr>
          <w:b/>
        </w:rPr>
        <w:t>E. 14</w:t>
      </w:r>
    </w:p>
    <w:p>
      <w:r>
        <w:t>Als unterliegende Partei haben die Beschwerdeführerinnen für beide Beschwerdeverfahren die aus einer Spruchgebühr und den Schreibgebühren zusammengesetzten Verfahrenskosten zu tragen. Diese werden angesichts des Erlasses einer Zwischenverfügung auf insgesamt Fr. 4'000.- festgesetzt (Art. 63 Abs. 1 VwVG sowie Art. 1, 2 und 4 des Reglements vom 11. Dezember 2006 über die Kosten und Entschädigungen vor dem Bundesverwaltungsgericht [VGKE, SR 173.320.2]; Hansjörg Seiler/Nicolas von Werdt/Andreas Güngerich, Bundesgerichtsgesetz, Art. 74 N. 6 f. und Art. 51 N. 3 ff.). Nach Verrechnung mit dem von den Beschwerdeführerinnen geleisteten Kostenvorschuss von Fr. 3'000.- haben die Beschwerdeführerinnen noch einen Betrag von Fr. 1'000.- zu bezahlen.</w:t>
      </w:r>
    </w:p>
    <w:p>
      <w:r>
        <w:rPr>
          <w:b/>
        </w:rPr>
        <w:t>E. 15</w:t>
      </w:r>
    </w:p>
    <w:p>
      <w:r>
        <w:t>Als unterliegender Partei kann den Beschwerdeführerinnen keine Parteientschädigung zugesprochen werden (Art. 64 Abs. 2 VwVG). Der obsiegenden Vorinstanz ist praxisgemäss keine Parteientschädigung zuzusprechen (Art. 7 Abs. 3 des Reglements vom 11. Dezember 2006 über die Kosten und Entschädigungen vor dem Bundesverwaltungsgericht, VGKE, SR 173.320.2; vgl. auch Ueli Kieser, ATSG-Kommentar, Zürich 2003, Art. 62 Rz.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