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C-759/2019 vom 3. März 2021</w:t>
      </w:r>
    </w:p>
    <w:p>
      <w:r>
        <w:t>Bundesverwaltungsgericht, 2021-03-03, FR</w:t>
      </w:r>
    </w:p>
    <w:p>
      <w:r>
        <w:rPr>
          <w:b/>
        </w:rPr>
        <w:t xml:space="preserve">Quelle: </w:t>
      </w:r>
      <w:r>
        <w:t>https://mcp.opencaselaw.ch/entscheid/bvger_C-759_2019</w:t>
      </w:r>
    </w:p>
    <w:p>
      <w:r>
        <w:t>FR: TAF C-759/2019 du 3 mars 2021</w:t>
      </w:r>
    </w:p>
    <w:p>
      <w:r>
        <w:t>IT: TAF C-759/2019 del 3 marzo 2021</w:t>
      </w:r>
    </w:p>
    <w:p>
      <w:pPr>
        <w:pStyle w:val="Heading2"/>
      </w:pPr>
      <w:r>
        <w:t>Regeste</w:t>
      </w:r>
    </w:p>
    <w:p>
      <w:r>
        <w:t>Révision de la rente</w:t>
      </w:r>
    </w:p>
    <w:p>
      <w:pPr>
        <w:pStyle w:val="Heading2"/>
      </w:pPr>
      <w:r>
        <w:t>Erwägungen</w:t>
      </w:r>
    </w:p>
    <w:p>
      <w:r>
        <w:rPr>
          <w:b/>
        </w:rPr>
        <w:t>E. 13</w:t>
      </w:r>
    </w:p>
    <w:p>
      <w:r>
        <w:t>En conséquence, le recours doit être partiellement admis et la décision attaquée annulée. La cause est renvoyée à l'autorité inférieure pour complément d'instruction, qu'elle devra mener elle-même, ne pouvant la déléguer à l'OAI incompétent. Elle rendra ensuite une nouvelle décision. Il est en effet nécessaire de clarifier l'éventuelle amélioration de l'état de santé de la recourante ainsi que la capacité de travail dans une activité adaptée et, le cas échéant, à partir de quelle date. En particulier, l'autorité inférieure veillera à requérir des rapports récents des médecins traitants du recourant et ordonnera une expertise pluridisciplinaire psychiatrique, rhumatologique, neurochirurgical et de médecine interne au vu des différentes pathologies psychiques et somatiques que présente la recourante, en faisant appel à des experts indépendants (art. 44 LPGA), désignés dans le respect des droits de participation de l'assurée (cf. ATF 137 V 210 consid. 3.4.2.9) et en application de la plateforme d'attribution aléatoire SuisseMED@P (cf. art. 72bis al. 2 RAI ; ATF 139 V 349 consid. 5.2.1). Si d'autres évaluations que celles susmentionnées se révèlent nécessaires au regard de l'ensemble des plaintes et des atteintes à la santé constatées, les experts en ordonneront la mise en oeuvre, attendu qu'il est en dernier ressort de leur devoir d'expert de déterminer la nature des évaluations médicales permettant de répondre au questionnaire qui leur est soumis dans le cas d'espèce (arrêt du Tribunal fédéral 8C_124/2008 du 17 octobre 2008 consid. 6.3.1). L'expertise sera pratiquée en Suisse, l'organisme d'évaluation mandaté devant maîtriser les principes d'évaluation prévalant dans la médecine d'assurance suisse (arrêt du Tribunal fédéral 9C_235/2013 du 10 septembre 2013 consid. 3.2). La recourante étant domiciliée en France, l'on ne voit de surcroît pas de motifs pour lesquels l'exécution en Suisse de cette expertise pourrait se révéler une mesure disproportionnée. Il sera procédé aux examens, y compris le cas échéant des tests en situation réelle, nécessaires à cet effet. L'ensemble du dossier devra ensuite être à nouveau soumis au SMR pour examen. Enfin, une nouvelle décision devra être prise.</w:t>
      </w:r>
    </w:p>
    <w:p>
      <w:r>
        <w:rPr>
          <w:b/>
        </w:rPr>
        <w:t>E. 14.1</w:t>
      </w:r>
    </w:p>
    <w:p>
      <w:r>
        <w:t>Vu l'issue du litige, la recourante ne doit pas participer aux frais de procédure (cf. art. 63 al. 1 PA). En effet, selon la jurisprudence fédérale, une partie est considérée comme ayant obtenu entièrement gain de cause lorsque l'affaire est renvoyée - comme en l'espèce - à l'autorité pour des instructions complémentaires et nouvelle décision (ATF 132 V 215 consid. 6) En conséquence, l'avance de frais de Fr. 800.- versée (cf. TAF pces 7, 8) sera restituée à la recourante une fois le présent arrêt entré en force. Aucun frais de procédure n'est mis à la charge de l'autorité inférieure (art. 63 al. 1 et 2 PA). 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la recourante a agi par l'intermédiaire d'un représentant n'ayant pas produit de note d'honoraires. Au vu de l'issue de la procédure et du fait que le mémoire de recours contient neuf pages (TAF pce 1), la réplique une page (TAF pce 12) et le courrier une page (TAF pce 16), le Tribunal lui alloue, à charge de l'autorité inférieure, et sans supplément TVA (art. 9 al. 1 let. c FITAF, en relation avec les art. 1 al. 2 et 8 LTVA [RS 641.20], une indemnité de dépens qu'il est équitable de fixer à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