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C-7598/2009 vom 31. Mai 2010</w:t>
      </w:r>
    </w:p>
    <w:p>
      <w:r>
        <w:t>Bundesverwaltungsgericht, 2010-05-31, FR</w:t>
      </w:r>
    </w:p>
    <w:p>
      <w:r>
        <w:rPr>
          <w:b/>
        </w:rPr>
        <w:t xml:space="preserve">Quelle: </w:t>
      </w:r>
      <w:r>
        <w:t>https://mcp.opencaselaw.ch/entscheid/bvger_C-7598_2009</w:t>
      </w:r>
    </w:p>
    <w:p>
      <w:r>
        <w:t>FR: TAF C-7598/2009 du 31 mai 2010</w:t>
      </w:r>
    </w:p>
    <w:p>
      <w:r>
        <w:t>IT: TAF C-7598/2009 del 31 maggio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B._______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1-32]). Les conditions d'entrée prévues par le code frontières Schengen correspondent, pour l'essentiel, à celles posées à l'art. 5 al. 1 let. a à d de la loi fédérale sur les étrangers du 16 décembre 2005 (LEtr, RS 142.20). Aussi la pratique et la jurisprudence appliquées à cette dernière disposition peuvent-elles être reprises (cf. ATAF 2009/27 consid. 5.2 p. 344, arrêt du TAF C-8386/2008 du 16 septembre 2009 consid. 5.1 et références citées).</w:t>
      </w:r>
    </w:p>
    <w:p>
      <w:r>
        <w:rPr>
          <w:b/>
        </w:rPr>
        <w:t>E. 5.2</w:t>
      </w:r>
    </w:p>
    <w:p>
      <w:r>
        <w:t>Le Règlement (CE) no 539/2001 du Conseil du 15 mars 2001 (JO L 81 du 21 mars 2001, p. 1-7) différencie, en son art. 1 par. 1 et 2, les ressortissants des Etats tiers selon qu'ils sont soumis ou non à l'obligation du visa. En sa qualité de ressortissante de RDC, A._______ est soumise à l'obligation du visa.</w:t>
      </w:r>
    </w:p>
    <w:p>
      <w:r>
        <w:rPr>
          <w:b/>
        </w:rPr>
        <w:t>E. 6.1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On ne saurait donc reprocher à l'autorité de prendre une décision contraire à la loi lorsque dite autorité se base sur les indices et l'évaluation précités pour appliquer l'article 5 al. 2 LEtr.</w:t>
      </w:r>
    </w:p>
    <w:p>
      <w:r>
        <w:rPr>
          <w:b/>
        </w:rPr>
        <w:t>E. 7.1</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7.2</w:t>
      </w:r>
    </w:p>
    <w:p>
      <w:r>
        <w:t>A ce sujet, compte tenu de la situation prévalant en RDC et des disparités économiques importantes existant entre ce pays et la Suisse, le Tribunal ne saurait d'emblée écarter les réserves émises quant à un retour de A._______ à l'échéance du visa. Les conditions socio-économiques difficiles qui ont cours en RDC ne sont pas sans exercer une pression migratoire importante sur la population locale. Cette tendance est encore renforcée lorsque l'invitée peut s'appuyer à l'étranger sur un réseau social préexistant (parents, amis), comme c'est le cas pour A._______.</w:t>
      </w:r>
    </w:p>
    <w:p>
      <w:r>
        <w:rPr>
          <w:b/>
        </w:rPr>
        <w:t>E. 8.1</w:t>
      </w:r>
    </w:p>
    <w:p>
      <w:r>
        <w:t>Cela étant, comme il a déjà été mentionné ci-dessus, la seule situation dans le pays d'origine ne suffit pas à conclure à l'absence de garantie quant à la sortie de l'Espace Schengen à l'issue du séjour, toutes les particularités du cas d'espèce devant être prises en considération.</w:t>
      </w:r>
    </w:p>
    <w:p>
      <w:r>
        <w:rPr>
          <w:b/>
        </w:rPr>
        <w:t>E. 8.2</w:t>
      </w:r>
    </w:p>
    <w:p>
      <w:r>
        <w:t>Dans la décision querellée, l'ODM a refusé d'autoriser l'entrée de A._______,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familiale.</w:t>
      </w:r>
    </w:p>
    <w:p>
      <w:r>
        <w:rPr>
          <w:b/>
        </w:rPr>
        <w:t>E. 9</w:t>
      </w:r>
    </w:p>
    <w:p>
      <w:r>
        <w:t>Dans le cas présent, le Tribunal retient en premier lieu que A._______, qui a passé toute sa vie en RDC et a désormais atteint l'âge de la retraite, ne présente pas, de prime abord, un profil migratoire à risque, à tout le moins sur un plan économique. Il paraît en effet peu probable qu'elle choisisse, à 77 ans, de s'exiler dans un environnement étranger, dont elle ne maîtrise pas la langue. Cela étant, le TAF ne saurait ignorer l'âge avancé de l'invitée. En dépit du fait qu'elle semble actuellement ne souffrir d'aucune pathologie apparente, A._______ se trouve dans une tranche d'âge où des complications médicales peuvent survenir rapidement, de manière imprévisible et nécessiter des soins importants. Dans une telle hypothèse, soutenir, comme le fait le recourant, que sa mère se contenterait d'avoir recours à la phytothérapie est peu vraisemblable. Il est nettement plus probable qu'une personne atteinte dans sa santé, ou sur le point de l'être, cherche à bénéficier du meilleur encadrement médical possible. Or, en présence d'une personne âgée en provenance d'un pays à la situation sanitaire particulièrement précaire,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Pour contrebalancer ces craintes, il faudrait être en présence d'éléments particulièrement forts et concrets à même de garantir le retour de la personne concernée. Or, tel n'est pas le cas en l'espèce. D'une part, les ressources financières de l'invitée ne sont pas clairement établies. Le recourant allègue que sa mère est propriétaire de sa maison et qu'elle dispose de revenus lui permettant de vivre confortablement en RDC. Toutefois, les pièces versées au dossier ne le confirment point. Le premier relevé bancaire du 13 mars 2009 démontre uniquement qu'elle perçoit un montant mensuel de $ 100.-- pour le paiement d'une location, alors que sur le second, seul figure le solde d'un compte (d'un montant de $ 558.--), dont on ignore l'identité du titulaire et dont le numéro de compte diffère du précédent. Par ailleurs, l'autonomie financière de A._______ semble dépendre, pour une part importante, de l'aide que lui verse chaque mois le recourant ($ 350.--), facteur qui n'est pas propre à créer des attaches économiques fortes avec son pays d'origine. D'autre part, A._______ est veuve. Certes, elle partage son logement avec sa belle-fille et ses petits enfants, et peut compter au pays sur la présence de cousins et neveux, mais il ne ressort pas non plus du dossier qu'elle ait à Kinshasa d'autres enfants en mesure de la soutenir en cas de coup dur. Enfin, le Tribunal remarque que la délivrance d'un visa n'est pas le seul moyen pour B._______ de maintenir des relations familiales avec A._______. Ses deux enfants (C._______ et D._______) ont respectivement 12 et 22 ans, et sont en âge d'accompagner le recourant et son épouse dans un voyage en RDC afin de faire la connaissance de leur grand-mère, indépendamment des inconvénients financiers ou pratiques d'une telle solution.</w:t>
      </w:r>
    </w:p>
    <w:p>
      <w:r>
        <w:rPr>
          <w:b/>
        </w:rPr>
        <w:t>E. 10</w:t>
      </w:r>
    </w:p>
    <w:p>
      <w:r>
        <w:t>Aussi, le désir exprimé par A._______, parfaitement compréhensible, de venir en Suisse rendre visite à sa famille ne constitue pas, en l'état et à lui seul, un motif justifiant l'octroi d'un visa, à propos duquel elle ne saurait se prévaloir d'aucun droit. S'il peut sembler sévère de refuser à une personne l'autorisation d'entrer dans un pays où sont établis des membres de sa famille, il convient de souligner que cette situation ne diffère pas de celle de nombreux étrangers dont la parenté ou les proches amis demeurent également en Suisse.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consid. 3) et, donc, à procéder à une sévère limitation du nombre d'acceptations des requêtes visant à l'octroi d'une autorisation d'entrée en Suisse. Pareilles considérations ne sont pas sans avoir une incidence dans l'appréciation du cas particulier.</w:t>
      </w:r>
    </w:p>
    <w:p>
      <w:r>
        <w:rPr>
          <w:b/>
        </w:rPr>
        <w:t>E. 11</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(cf. ATAF 2009/27 consid. 9 p. 347 et jurisprudence citée). De même, l'intention que peut manifester une personne de retourner dans son pays à l'issue de son séjour, voire son engagement formel à le faire, n'ont aucune force juridique (cf. arrêt du TAF C-1461/2008 du 17 mars 2009 consid. 9 et jurisprudence citée) et ne suffisent pas non plus à garantir que son départ interviendra dans les délais prévus. Partant, au vu de l'ensemble des circonstances, le TAF estime qu'il ne saurait être reproché à l'ODM d'avoir refusé à A._______ la délivrance d'une autorisation d'entrée dans l'Espace Schengen.</w:t>
      </w:r>
    </w:p>
    <w:p>
      <w:r>
        <w:rPr>
          <w:b/>
        </w:rPr>
        <w:t>E. 12</w:t>
      </w:r>
    </w:p>
    <w:p>
      <w:r>
        <w:t>La décision de l'ODM du 2 décembre 2009 est conforme au droit (art. 49 PA). En conséquence, le recours est rejeté.</w:t>
      </w:r>
    </w:p>
    <w:p>
      <w:r>
        <w:rPr>
          <w:b/>
        </w:rPr>
        <w:t>E. 13</w:t>
      </w:r>
    </w:p>
    <w:p>
      <w:r>
        <w:t>Vu l'issue de la cause, les frais de procédure sont mis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