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C-7580/2010 vom 5. Mai 2011</w:t>
      </w:r>
    </w:p>
    <w:p>
      <w:r>
        <w:t>Bundesverwaltungsgericht, 2011-05-05, FR</w:t>
      </w:r>
    </w:p>
    <w:p>
      <w:r>
        <w:rPr>
          <w:b/>
        </w:rPr>
        <w:t xml:space="preserve">Quelle: </w:t>
      </w:r>
      <w:r>
        <w:t>https://mcp.opencaselaw.ch/entscheid/bvger_C-7580_2010</w:t>
      </w:r>
    </w:p>
    <w:p>
      <w:r>
        <w:t>FR: TAF C-7580/2010 du 5 mai 2011</w:t>
      </w:r>
    </w:p>
    <w:p>
      <w:r>
        <w:t>IT: TAF C-7580/2010 del 5 maggio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La recourante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Dans son pourvoi du 22 octobre 2010, la recourante a soutenu que l'autorité intimée avait violé son droit d'être entendu en ne retenant pas tous les faits pertinents et en rendant une décision insuffisamment motivée.</w:t>
      </w:r>
    </w:p>
    <w:p>
      <w:r>
        <w:rPr>
          <w:b/>
        </w:rPr>
        <w:t>E. 3.2</w:t>
      </w:r>
    </w:p>
    <w:p>
      <w:r>
        <w:t>Tel qu'il est garanti par l'art. 29 al. 2 de la Constitution fédérale de la Confédération suisse du 18 avril 1999 (Cst., RS 101),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jurisprudence citée, ainsi que l'arrêt du Tribunal fédéral 6F_1/2010 du 20 mai 2010 consid. 3; ATAF 2010/35 consid. 4.1.2 p. 494). Elle peut ainsi passer sous silence ce qui, sans arbitraire, lui paraît à l'évidence non établi ou sans pertinence (cf. arrêt du Tribunal fédéral 5P.408/2004 du 10 janvier 2005 consid. 2.2 et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notamment arrêt du Tribunal fédéral 4P.188/2005 du 23 décembre 2005 consid. 4.3). En l'occurrence, force est de constater que, dans sa décision du 22 septembre 2010, l'ODM a indiqué les éléments essentiels sur lesquels il a fondé son appréciation, à savoir la situation personnelle de la requérante et la situation socio-économique prévalant dans son pays d'origine. Dans ces conditions, la motivation contenue dans la décision attaquée, certes succincte, n'en était pas moins suffisante pour comprendre les raisons pour lesquelles l'autorité inférieure a prononcé une décision de refus d'autorisation d'entrée dans l'Espace Schengen à l'égard de l'invitée. Le TAF observe du reste que, malgré la motivation sommaire de ladite décision, l'intéressée en a parfaitement saisi la portée. Preuve en est le mémoire circonstancié qu'elle a déposé dans le cadre de la présente procédure. En outre, comme déjà souligné ci-dessus, le TAF dispose d'une pleine cognition et peut revoir aussi bien les questions de droit que les constations de faits établies par l'autorité inférieure ou encore l'opportunité de sa décision (art. 49 PA). Or, la recourante a eu la faculté de présenter tous ses moyens au cours de la présente procédure, tant par rapport à la décision querellée de l'ODM du 22 septembre 2010 que par rapport au préavis émis par cette dernière autorité le 22 décembre 2010. Elle a donc eu la possibilité de prendre position de façon adéquate au sujet des éléments qui ont motivé la décision querellée (cf. notamment ATF 127 V 431 consid. 3d/aa, 126 V 130 consid. 2b, 125 I 209 consid. 9a et 116 V 28 consid. 4b; ATAF 2009/53 consid. 7.3 p. 773). Partant, le grief formel tiré d'une violation du droit d'être entendu est mal fondé.</w:t>
      </w:r>
    </w:p>
    <w:p>
      <w:r>
        <w:rPr>
          <w:b/>
        </w:rPr>
        <w:t>E. 4.1</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135 II 1 consid. 1.1).</w:t>
      </w:r>
    </w:p>
    <w:p>
      <w:r>
        <w:rPr>
          <w:b/>
        </w:rPr>
        <w:t>E. 4.2</w:t>
      </w:r>
    </w:p>
    <w:p>
      <w:r>
        <w:t>Les dispositions sur la procédure en matière de visa ainsi que sur l'entrée en Suisse et la sortie de Suisse ne s'appliquent que dans la mesure où les accords d'association à Schengen, qui sont mentionnés au ch. 1 de l'annexe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à 32), dont l'art. 5 a été modifié par le règlement (UE) no 265/2010 du Parlement européen et du Conseil du 25 mars 2010 modifiant la convention d'application de l'accord de Schengen et le règlement (CE) no 562/2006 précité en ce qui concerne la circulation des personnes titulaires d'un visa de long séjour (JO L 85 du 31 mars 2010). Les conditions d'entrée ainsi prévues correspondent pour l'essentiel à celles posées par l'art. 5 LEtr. Ceci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la volonté du demandeur de visa de quitter le territoire des Etats membres avant la date d'expiration du visa demandé (art. 21 par. 1 du code des visas).Aussi, la pratique et la jurisprudence relatives à l'art. 5 LEtr, notamment celles concernant la garantie de sortie prévue par l'art. 5 al. 2 LEtr, peuvent-elles être reprises in casu (sur les détails de cette problématique, cf. ATAF 2009/27 consid. 5.2 et 5.3 p. 344).</w:t>
      </w:r>
    </w:p>
    <w:p>
      <w:r>
        <w:rPr>
          <w:b/>
        </w:rPr>
        <w:t>E. 4.3</w:t>
      </w:r>
    </w:p>
    <w:p>
      <w:r>
        <w:t>Du fait de sa nationalité, A._______ est soumise à l'obligation du visa, conformément à l'art. 1 par. 1 du règlement (CE) no 539/2001 du Conseil du 15 mars 2001 (JO L 81 du 21 mars 2001, p. 1 à 7) et son annexe I.</w:t>
      </w:r>
    </w:p>
    <w:p>
      <w:r>
        <w:rPr>
          <w:b/>
        </w:rPr>
        <w:t>E. 5.1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5.2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6</w:t>
      </w:r>
    </w:p>
    <w:p>
      <w:r>
        <w:t>A ce sujet, il faut prendre en considération la qualité de vie et les conditions économiques particulières que connaît l'ensemble de la population de Chine, pays où, en 2009, le produit intérieur brut (PIB) par habitant ne s'élevait qu'à USD 3'735.-, soit un niveau plus de dix fois inférieur à celui de la Suisse (cf. site internet du Ministère des affaires étrangères et européennes de la République française www.diplomatie.gouv.fr &gt; pays - zones géo &gt; Chine &gt; Présentation, mis à jour le 6 décembre 2010, consulté le 21 avril 2011). Ces conditions économiques difficiles ne sont pas sans exercer une pression migratoire importante, cette tendance étant encore renforcée lorsque les personnes concernées peuvent s'appuyer à l'étranger sur un réseau social (parents, amis) préexistant, ce qui est le cas en l'espèce. Toutefois, la seule situation dans le pays d'origine de la requérante ne suffit pas à conclure à l'absence de garantie quant à son retour à l'issue du séjour, toutes les particularités du cas d'espèce devant être prises en considération.</w:t>
      </w:r>
    </w:p>
    <w:p>
      <w:r>
        <w:rPr>
          <w:b/>
        </w:rPr>
        <w:t>E. 7</w:t>
      </w:r>
    </w:p>
    <w:p>
      <w:r>
        <w:t>En l'occurrence, sans pour autant minimiser les raisons d'ordre affectif qui motivent sa demande, le Tribunal ne saurait admettre, au vu de l'ensemble des éléments du dossier, que le retour de A._______ dans sa patrie au terme de l'autorisation demandée puisse être considéré comme suffisamment garanti. Le fait que le fils de la prénommée vive dans sa patrie est certes un élément qui parle en faveur de sa sortie de Suisse à la fin du séjour envisagé. A ce propos, il sied toutefois de constater, au vu de l'expérience générale, qu'un tel lien est parfois insuffisant pour dissuader une personne de prolonger son séjour en Suisse, d'autant plus que son fils est majeur et marié (cf. traduction du livret de famille produite à l'appui de la demande de visa du 28 avril 2010). Dans ces circonstances, la requérante, qui est âgée de cinquante-six ans et divorcée, serait à même de se créer une nouvelle existence hors de sa patrie, en particulier en Suisse, où résident sa soeur et son beau-frère, sans que cela n'entraîne pour elle de difficultés sur le plan familial. Sur un autre plan, il paraît pour le moins étonnant que, dans le cadre du dépôt de sa demande de visa Schengen du 28 avril 2010, la recourante ait fourni un plan du logement de 48 m2 dont elle était propriétaire et dans lequel elle vivait avec son fils et sa belle-fille (cf. adresse figurant également sur la traduction précitée du livret de famille), alors qu'il ressort déjà de la lettre d'invitation du 22 avril 2010, ainsi que de la requête précitée (cf. ch. 17 de ladite demande), qu'elle n'habitait plus à ladite adresse (cf. également écrit du 17 juin 2010 et recours du 22 octobre 2010). Certes, la requérante travaille comme technicienne et perçoit un salaire mensuel de RMB 2'600.-, soit environ Fr. 355.- (cf. écrit de son employeur du 11 mars 2010). Toutefois, cela ne suffit pas non plus à assurer son départ du territoire helvétique au terme du séjour projeté. En effet, le Tribunal ne décèle aucun élément dans le dossier qui permette de conclure que sa situation financière se trouverait péjorée si elle devait, cas échéant, quitter son activité en Chine pour prendre un emploi en Suisse. Cette crainte paraît d'autant plus fondées que, dans sa demande de visa précitée, la recourante a précisé que la durée souhaitée du séjour était de nonante jours et que, dans son recours du 22 octobre 2010, elle a fait valoir qu'un visa de trois mois à des fins strictement familiales n'était pas excessif eu égard au fait qu'elle n'était jamais venue en Suisse, alors que son employeur ne l'a autorisée à s'absenter que pendant trente jours (cf. certificat de son employeur du 8 octobre 2010 produit à l'appui du recours). Aussi, c'est en vain que l'intéressée a prétendu bénéficier d'un congé de son employeur pour la durée de son séjour sur territoire helvétique (cf. p. 6 dudit pourvoi). Les incohérences dont sont ainsi empreintes les indications communiquées aux autorités constituent un facteur d'incertitude supplémentaire quant au réel but du séjour de l'invitée. Par surabondance, il est pour le moins surprenant de constater que, si le compte bancaire de l'invitée présentait un solde de RMB 201'778.16 au 26 mars 2010, soit d'environ Fr. 27'400.-, c'est uniquement en raison d'un versement en espèces de RMB 155'555.40 - dont la provenance est inconnue - effectué en sa faveur le même jour, soit un mois avant sa demande de visa Schengen du 28 avril 2010 (cf. relevé de compte de la "Bank of China" produit à l'appui de ladite requête). Dans ce contexte et compte tenu du niveau de vie sensiblement plus élevé que présente la Suisse, les autorités helvétiques ne peuvent donc totalement exclure que l'intéressée ne soit tentée, une fois entrée en ce pays, d'y poursuivre son séjour dans l'espoir d'y trouver, fût-ce de manière temporaire, des conditions d'existence meilleures que celles rencontrées dans son pays d'origine, malgré les assurances contraires qui ont été données dans le cadre du recours. Il ne faut pas perdre de vue en effet que cette différence de niveau de vie peut s'avérer déterminante au moment de prendre la décision de quitter sa patrie. A cet égard, le TAF relèvera que, dans sa requête de visa du 23 septembre 2002, A._______ avait mentionné que les invitants étaient propriétaires d'un restaurant chinois à Yverdon, tout en indiquant son beau-frère comme employeur (cf. ch. 9 de ladite demande).</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ATAF 2009/27 consid. 9 p. 347) et ne suffisent pas non plus à garantir que son départ interviendra dans les délais prévus.</w:t>
      </w:r>
    </w:p>
    <w:p>
      <w:r>
        <w:rPr>
          <w:b/>
        </w:rPr>
        <w:t>E. 9</w:t>
      </w:r>
    </w:p>
    <w:p>
      <w:r>
        <w:t>Au vu de l'ensemble des éléments de la cause, le Tribunal estime qu'il ne saurait être reproché à l'ODM d'avoir considéré que le départ de A._______ à l'échéance du visa requis n'était pas suffisamment assuré et, partant, d'avoir refusé la délivrance d'une autorisation d'entrée dans l'Espace Schengen en sa faveur.</w:t>
      </w:r>
    </w:p>
    <w:p>
      <w:r>
        <w:rPr>
          <w:b/>
        </w:rPr>
        <w:t>E. 10</w:t>
      </w:r>
    </w:p>
    <w:p>
      <w:r>
        <w:t>Il ressort de ce qui précède que la décision de l'ODM du 22 septembre 2010 est conforme au droit.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