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C-7578/2007 vom 18. Januar 2010</w:t>
      </w:r>
    </w:p>
    <w:p>
      <w:r>
        <w:t>Bundesverwaltungsgericht, 2010-01-18, DE</w:t>
      </w:r>
    </w:p>
    <w:p>
      <w:r>
        <w:rPr>
          <w:b/>
        </w:rPr>
        <w:t xml:space="preserve">Quelle: </w:t>
      </w:r>
      <w:r>
        <w:t>https://mcp.opencaselaw.ch/entscheid/bvger_C-7578_2007</w:t>
      </w:r>
    </w:p>
    <w:p>
      <w:r>
        <w:t>FR: TAF C-7578/2007 du 18 janvier 2010</w:t>
      </w:r>
    </w:p>
    <w:p>
      <w:r>
        <w:t>IT: TAF C-7578/2007 del 18 gennaio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Die Beschwerdeführerin ist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Der entscheidserhebliche Sachverhalt erschliesst sich, wie nachfolgend zu zeigen sein wird, in genügender Weise aus den Akten. Von Beweiserhebungen, die die Beschwerdeführerin in ihrer Rechtsmitteleingabe beantragt (Zeugeneinvernahme des Ehemannes und zweier befreundeter Personen) kann daher in antizipierter Beweiswürdigung ohne Verletzung des rechtlichen Gehörs abgesehen werden (vgl. Art. 33 Abs. 1 VwVG; BGE 134 I 140 E. 5.3 S. 148 und BGE 131 I 153 E. 3 S. 157 mit Hinweisen).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der Gesuchsteller (Urteil des Bundesverwaltungsgerichts C-5286/2007 vom 4. November 2008 E. 3.2).</w:t>
      </w:r>
    </w:p>
    <w:p>
      <w:r>
        <w:rPr>
          <w:b/>
        </w:rPr>
        <w:t>E. 4.2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4.3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Das Verfahren auf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5.2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6</w:t>
      </w:r>
    </w:p>
    <w:p>
      <w:r>
        <w:t>Die erleichterte Einbürgerung der Beschwerdeführerin wurde innert der gesetzlichen Frist von fünf Jahren und mit Zustimmung des Heimatkantons St. Gallen für nichtig erklärt. Die formellen Voraussetzungen des Art. 41 Abs. 1 BüG für eine Nichtigerklärung sind somit erfüllt.</w:t>
      </w:r>
    </w:p>
    <w:p>
      <w:r>
        <w:rPr>
          <w:b/>
        </w:rPr>
        <w:t>E. 7.1</w:t>
      </w:r>
    </w:p>
    <w:p>
      <w:r>
        <w:t>Aus den Akten ergibt sich der folgende unbestrittene Sachverhalt: Die Beschwerdeführerin war von 1991 bis Ende 1996 mit Saisonbewilligungen in der Schweiz erwerbstätig. Danach fiel die Möglichkeit auch für bisherige Saisonniers weg, weiterhin unter diesem Statut zugelassen zu werden und die Beschwerdeführerin musste die Schweiz definitiv verlassen. Dieser Verpflichtung kam sie allerdings - aus dem Erhebungsbericht des kantonalen Bürgerrechtsdienstes Basel-Stadt vom 26. Juli 2002 zu schliessen - nicht fristgerecht nach. Nach mehreren erfolglosen Versuchen mit einem Visum zu einem befristeten Besuchsaufenthalt eingereist, heiratete sie am 15. Oktober 1998 in Basel einen Schweizer Bürger und erreichte so die erneute Regelung ihres Aufenthalts. Am 19. Oktober 2001 und damit unmittelbar mit Erreichen der zeitlichen Voraussetzungen nach Art. 27 Abs. 1 Bst. c BüG stellte sie ein Gesuch um Gewährung der erleichterten Einbürgerung. Nachdem die Ehegatten am 20. Januar 2003 zu Handen des Einbürgerungsverfahrens die gemeinsame Erklärung zur ehelichen Gemeinschaft abgegeben hatten, wurde am 4. Februar 2003 die erleichterte Einbürgerung der Beschwerdeführerin verfügt. Gemäss Darstellung des Ehegatten (in der Notiz zu seinem Schreiben vom 3. Mai 2004) sofort nach diesem Ereignis, gemäss ihren eigenen Angaben am 1. Juli 2003 zog die Beschwerdeführerin aus der gemeinsamen Wohnung aus. Seither leben die Ehegatten getrennt.</w:t>
      </w:r>
    </w:p>
    <w:p>
      <w:r>
        <w:rPr>
          <w:b/>
        </w:rPr>
        <w:t>E. 7.2</w:t>
      </w:r>
    </w:p>
    <w:p>
      <w:r>
        <w:t>Die Zeit zwischen dem Abschluss des Verfahrens um Erteilung der erleichterten Einbürgerung und der faktischen Trennung betrug - wenn man der Darstellung der Beschwerdeführerin Glauben schenkt - fünf Monate. Sie bemisst sich derart kurz, dass sich die tatsächliche Vermutung rechtfertigt, wonach die Ehe im Zeitpunkt der gemeinsamen Erklärung der Ehegatten vom 20. Januar 2003 bzw. der erleichterten Einbürgerung vom 4. Februar 2003 nicht intakt war. Daran vermag der Einwand grundsätzlich nichts zu ändern, wonach die Ehegatten nach wie vor keine Scheidungsabsichten hegten, vielmehr hofften, die eheliche Gemeinschaft in Zukunft wieder aufnehmen zu können. Von Erheblichkeit ist nicht die Entwicklung in der Beziehung seit der faktischen Trennung, sondern einzig der Zustand der ehelichen Gemeinschaft während des Verfahrens um erleichterte Einbürgerung.</w:t>
      </w:r>
    </w:p>
    <w:p>
      <w:r>
        <w:rPr>
          <w:b/>
        </w:rPr>
        <w:t>E. 7.3.1</w:t>
      </w:r>
    </w:p>
    <w:p>
      <w:r>
        <w:t>Nachfolgend ist zu prüfen, ob die Beschwerdeführerin in der Lage ist, die dargestellte Vermutung einer im rechtserheblichen Zeitraum nicht intakten Ehe zu widerlegen. Dazu braucht sie nach dem bereits Gesagten nicht den Nachweis zu erbringen, dass die Ehe mit dem Schweizer Bürger im massgeblichen Zeitraum intakt war, denn eine tatsächliche Vermutung führt nicht zur Umkehr der Beweislast. Es genügt, wenn die Beschwerdeführerin eine plausible Alternative zur dargestellten Vermutungsfolge präsentieren kann.</w:t>
      </w:r>
    </w:p>
    <w:p>
      <w:r>
        <w:rPr>
          <w:b/>
        </w:rPr>
        <w:t>E. 7.3.2</w:t>
      </w:r>
    </w:p>
    <w:p>
      <w:r>
        <w:t>Die Beschwerdeführerin macht geltend, die Ehe sei bis unmittelbar nach Erhalt der erleichterten Einbürgerung intakt gewesen. Dann habe ihr Ehemann sein Verhalten ihr gegenüber völlig geändert. Er habe begonnen, sie verbal zu attackieren und unter Druck zu setzen. Er habe ihr vorgeworfen, ihn zu betrügen, und sie aufgefordert, aus der gemeinsamen Wohnung auszuziehen. Seine Äusserungen seien immer feindseliger geworden, so dass sie vermehrt Angst gehabt habe, überhaupt noch nach Hause zu gehen. Dieses Verhalten ihres Ehemannes sei für sie bis heute nicht nachvollziehbar. Als mögliche Ursachen sehe sie ihre eigene starke Arbeitsbelastung und den gegenüber ihrem Ehegatten sehr unterschiedlichen Arbeitsrhythmus (der Ehemann habe seine Arbeit am Morgen schon in aller Frühe begonnen, sie demgegenüber habe ihre Arbeit erst um Mitternacht beendet). Nach einer gemeinsamen Aussprache seien sie zum Schluss gekommen, dass nur eine getrennte Wohnsitznahme zu einer Beruhigung der Situation führen könne. Sie sei daraufhin per 1. Juli 2003 aus der gemeinsamen Wohnung ausgezogen.</w:t>
      </w:r>
    </w:p>
    <w:p>
      <w:r>
        <w:rPr>
          <w:b/>
        </w:rPr>
        <w:t>E. 7.3.3</w:t>
      </w:r>
    </w:p>
    <w:p>
      <w:r>
        <w:t>Die Ausführungen der Beschwerdeführerin sind nicht geeignet, die Wahrscheinlichkeit eines alternativen Geschehensablaufs glaubhaft zu machen. Die Behauptung, wonach sich der Ehemann in seinem Verhalten ihr gegenüber unmittelbar nach Erhalt der erleichterten Einbürgerung wesentlich verändert haben soll, wirkt konstruiert. Es ist auch kein einigermassen nachvollziehbares Motiv für einen solchen Wandel zu erkennen, behauptet die Beschwerdeführerin doch selbst, dass er sich aktiv für ihre Einbürgerung eingesetzt habe und hält doch auch er nach wie vor an der Beziehung fest. Selbst wenn davon ausgegangen werden könnte, dass die berufliche Belastung der Ehegatten unmittelbar vor oder nach Gewährung der erleichterten Einbürgerung eine wesentliche Veränderung erfahren hätte, könnte eine solche nicht ohne weiteres geeignet sein, eine zuvor während Jahren bestandene und intakte eheliche Gemeinschaft innert weniger Monate faktisch zu Fall zu bringen. Die Beschwerdeführerin räumt ein, dass die Arbeitspensen und unterschiedlichen Arbeitszeiten schon früher teilweise zu Spannungen geführt hätten. Diese Spannungen seien aber nicht dergestalt gewesen, dass von einem nicht mehr vorhandenen Ehewillen gesprochen werden könne. Weshalb bereits länger bestehende Lebensumstände, die gemäss eigener Darstellung zwar zu gelegentlichen Spannungen, nicht aber zu einer Zerrüttung der Ehe geführt hatten, nun plötzlich und ausgerechnet nach der Einbürgerung der Beschwerdeführerin bei deren Ehemann zu einer massiven Verhaltensänderung und dadurch bedingt zu einer raschen Trennung der Ehe hätten führen sollen, ist nicht nachvollziehbar.</w:t>
      </w:r>
    </w:p>
    <w:p>
      <w:r>
        <w:rPr>
          <w:b/>
        </w:rPr>
        <w:t>E. 7.3.4</w:t>
      </w:r>
    </w:p>
    <w:p>
      <w:r>
        <w:t>Der Ehemann hat in seiner Notiz zuhanden der Vorinstanz (Schreiben vom 3. Mai 2004) ganz andere Gründe genannt, die zur faktischen Aufgabe der ehelichen Gemeinschaft geführt haben sollen. Demnach sei die Einreise der Beschwerdeführerin zu einem Besuchsaufenthalt von deren früheren Arbeitgeber organisiert und er während dieses Aufenthalts dazu angehalten worden, die Ehe mit ihr einzugehen. Nach der Heirat habe man zwar gemeinsam ein 2½-Zimmer-Logis bezogen, dort aber von Anfang an separate Zimmer bewohnt. Sie hätten keine intimen Beziehungen gepflegt; seine Ehefrau habe das nicht gewollt und ihn immer auf später vertröstet. Selbst die Ferien hätten sie nicht gemeinsam verbracht. Er sei enttäuscht gewesen und habe schon nach 1½ Jahren einen Anwalt konsultiert, sich dann aber von Versprechungen der Beschwerdeführerin hinhalten lassen. Nach Erhalt des Bürgerrechts sei sie sofort und ohne Erklärung aus der gemeinsamen Wohnung ausgezogen. Der Ehemann hat damit gegenüber der Beschwerdeführerin den Vorwurf erhoben, eine Ehe nur zum Schein und nicht zur Begründung einer Lebensgemeinschaft eingegangen zu sein. Seine diesbezüglichen Schilderungen in besagter Notiz sind detailliert und erscheinen in sich stimmig; sie vermitteln nicht den Eindruck, dass es sich dabei um haltlose Unterstellungen eines (aus welchen Gründen auch immer) gekränkten Ehemannes handeln könnte. Entgegen der Behauptung der Beschwerdeführerin hat der Ehemann denn auch die Darstellungsweise in seiner Notiz später nie grundlegend widerrufen. In seinen nachfolgenden Stellungnahmen korrigierte er sich nur gerade darin, dass die Beschwerdeführerin schliesslich nicht aus eigenem Antrieb, sondern auf seine Aufforderung hin aus der gemeinsamen Wohnung ausgezogen sei. Im Übrigen liess er es dabei bewenden, eigene Fehler in der Vergangenheit anzudeuten, das aktuelle Verhältnis untereinander zu rühmen, Scheidungsabsichten in Abrede zu stellen und die Einstellung des Nichtigkeitsverfahrens zu fordern.</w:t>
      </w:r>
    </w:p>
    <w:p>
      <w:r>
        <w:rPr>
          <w:b/>
        </w:rPr>
        <w:t>E. 7.3.5</w:t>
      </w:r>
    </w:p>
    <w:p>
      <w:r>
        <w:t>Die Beschwerdeführerin ging auf die vom Ehemann in seiner Notiz an die Vorinstanz erhobenen Vorwürfe nur punktuell und oberflächlich ein. So bestritt sie im erstinstanzlichen Verfahren und in ihrer Rechtsmitteleingabe die Richtigkeit der Behauptung ihres Ehemannes, wonach sie ihn nie nackt gesehen habe. Als Ursache für die getrennten Schlafstätten nannte sie Schnarchgeräusche ihres Ehemannes. Auf den zentralen Vorwurf aber, wonach sie sich ihm sexuell während der ganzen Zeit verweigert habe, ging sie mit keinem Wort ein. Statt dessen betonte sie ihr Pflichtbewusstsein und ihren Einsatz in der Führung des Haushalts.</w:t>
      </w:r>
    </w:p>
    <w:p>
      <w:r>
        <w:rPr>
          <w:b/>
        </w:rPr>
        <w:t>E. 7.3.6</w:t>
      </w:r>
    </w:p>
    <w:p>
      <w:r>
        <w:t>Die Vermutung auf eine im rechtlich relevanten Zeitraum nicht intakte Ehe lässt sich im Übrigen auch mit den vorhandenen schriftlichen Auskünften von Drittpersonen nicht ernsthaft in Frage stellen. In den während des Einbürgerungsverfahrens eingeholten Referenzen werden den Eheleuten seitens befreundeter bzw. bekannter Personen gemeinsame Auftritte im privaten Kreis und in der Öffentlichkeit attestiert. Zwei der Auskunftspersonen verwehren sich gegen die Vermutung, wonach eine Scheinehe vorliegen könnte. Unbesehen der Tatsache, dass der Ehemann in der bereits mehrfach erwähnten Notiz zuhanden der Vorinstanz festgehalten hatte, nicht alle der angerufenen Referenzpersonen würden ihn überhaupt kennen, gilt es zu bedenken, dass bekannte oder befreundete Personen zwar in aller Regel über ein bestimmtes Erscheinungsbild nach aussen, über den wahren Zustand einer Ehe aber nur insoweit Auskunft geben können, als sich die Ehegatten auch tatsächlich entsprechend offenbaren. Letzteres gilt grundsätzlich auch für die beiden Referenzauskünfte, die die Beschwerdeführerin zuhanden des Rechtsmittelverfahrens veranlasste. In beiden Aussagen wird zwar betont, dass die Beschwerdeführerin vorbildlich für ihrem Ehemann geschaut, gekocht, geputzt bzw. ihm zu einem anständigen Äusseren verholfen habe. Selbst wenn dies zutraf, ist damit aber noch nichts über den Zustand der Ehe im rechtserheblichen Zeitraum gesagt. Eine der Auskunftspersonen offenbart sich darüber hinaus als langjähriger Freund des Ehegatten, äussert sich zu den Gründen der Kinderlosigkeit und der getrennten Ferien, attestiert dem Ehemann der Beschwerdeführerin ein hohes Mass an Eifersucht (was wohl jeder Beziehung schade) und endet in der Feststellung, dass die Ehegatten weder eine Trennung noch eine Scheidung ins Auge fassten und die Beziehung noch eine Chance verdiene. Dass er aber über zentrale Punkte des ehelichen Zusammenlebens nicht informiert gewesen sein konnte, zeigt sich beispielsweise darin, dass er die Kinderlosigkeit (entgegen der Darstellung seines Freundes, des Ehemannes der Beschwerdeführerin) auf eine Unvereinbarkeit mit dem Berufsleben der Beteiligten zurückführte.</w:t>
      </w:r>
    </w:p>
    <w:p>
      <w:r>
        <w:rPr>
          <w:b/>
        </w:rPr>
        <w:t>E. 8</w:t>
      </w:r>
    </w:p>
    <w:p>
      <w:r>
        <w:t>Der Beschwerdeführerin ist es somit nicht gelungen, die gegen sie sprechende Vermutung überzeugend in Fragen zu stellen, dass zum Zeitpunkt der gemeinsamen Erklärung vom 20. Januar 2003 und der erleichterten Einbürgerung am 4. Februar 2004 zwischen ihr und ihrem schweizerischen Ehemann keine stabile und auf Zukunft gerichtete eheliche Gemeinschaft bestanden hat. Auf Grund der gesamten Umstände muss im Gegenteil davon ausgegangen werden, dass der Ehewille, falls er überhaupt jemals bestand, bereits einige Zeit vorher erloschen war, und dass an der Ehe schliesslich nur festgehalten wurde, um der Beschwerdeführerin zum Schweizer Bürgerrecht zu verhelfen. Indem die Beschwerdeführerin in der gemeinsamen Erklärung den Bestand einer intakten und stabilen Ehe versicherte, hat sie die Behörden über eine wesentlich Tatsache getäuscht und die erleichterte Einbürgerung im Sinne von Art. 41 Abs. 1 BüG erschlichen. Die materiellen Voraussetzungen für die Nichtigerklärung der erleichterten Einbürgerung sind somit ebenfalls erfüllt. Der Sachverhalt ist genügend erstellt und es erübrigt sich, auf weitere Vorbringen und auf die zusammen mit der Beschwerde eingereichten Beweismittel näher einzugehen.</w:t>
      </w:r>
    </w:p>
    <w:p>
      <w:r>
        <w:rPr>
          <w:b/>
        </w:rPr>
        <w:t>E. 9</w:t>
      </w:r>
    </w:p>
    <w:p>
      <w:r>
        <w:t>Die angefochtene Verfügung erweist sich demnach als rechtmässig (Art. 49 VwVG). Die Beschwerde ist daher abzuweisen.</w:t>
      </w:r>
    </w:p>
    <w:p>
      <w:r>
        <w:rPr>
          <w:b/>
        </w:rPr>
        <w:t>E. 10</w:t>
      </w:r>
    </w:p>
    <w:p>
      <w:r>
        <w:t>Dem Ausgang des Verfahrens entsprechend wird die unterliegende Beschwerdeführerin kostenpflichtig (Art. 63 Abs. 1 VwVG). Die Verfahrenskosten sind auf Fr. 800.- festzusetzen (Art. 1, Art. 2 und Art. 3 Bst. b des Reglements vom 21. Februar 2008 über die Kosten und Entschädigungen vor dem Bundesverwaltungsgericht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