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C-7549/2007 vom 4. Mai 2009</w:t>
      </w:r>
    </w:p>
    <w:p>
      <w:r>
        <w:t>Bundesverwaltungsgericht, 2009-05-04, DE</w:t>
      </w:r>
    </w:p>
    <w:p>
      <w:r>
        <w:rPr>
          <w:b/>
        </w:rPr>
        <w:t xml:space="preserve">Quelle: </w:t>
      </w:r>
      <w:r>
        <w:t>https://mcp.opencaselaw.ch/entscheid/bvger_C-7549_2007</w:t>
      </w:r>
    </w:p>
    <w:p>
      <w:r>
        <w:t>FR: TAF C-7549/2007 du 4 mai 2009</w:t>
      </w:r>
    </w:p>
    <w:p>
      <w:r>
        <w:t>IT: TAF C-7549/2007 del 4 maggio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chinesische Staatsangehörige unterliegt die Gesuchstellerin damit der Visumspflicht.</w:t>
      </w:r>
    </w:p>
    <w:p>
      <w:r>
        <w:rPr>
          <w:b/>
        </w:rPr>
        <w:t>E. 7</w:t>
      </w:r>
    </w:p>
    <w:p>
      <w:r>
        <w:t>Die zunehmend marktwirtschaftliche Orientierung hat in China grosse Wachstumskräfte freigesetzt. Die konsequente Wachstumspolitik hat eine Aufbruchstimmung und damit eine Eigendynamik geschaffen, die angesichts der Grösse Chinas und seines Aufholpotentials noch lange anhalten dürfte. Die Wachstumsrate von 11,9% im Jahr 2007 dürfte sich in den nachfolgenden Jahren allerdings deutlich verringern; so wird für das Jahr 2008 von 9% ausgegangen, Tendenz sinkend. Insbesondere wird die durch die Finanzkrise in den Industrieländern ausgelöste Rezession auch zu einem Nachfragerückgang bei chinesischen Gütern führen. Abgesehen davon steht China unverändert vor der gewaltigen Aufgabe, seine "sozialistische Marktwirtschaft chinesischer Prägung" aufzubauen, d.h. das Land von einer primär landwirtschaftlichen zu einer Industrie- und Dienstleistungsgesellschaft umzugestalten. Der Beitritt zur Welthandelsorganisation (WTO) Ende 2001 hat insoweit ein klares Zeichen der Öffnung und der Eingliederung in die globale Weltwirtschaft gesetzt. Tatsache ist jedoch, dass in ländlichen Gegenden 800 Millionen Chinesen leben, von denen mehr als die Hälfte existenziell von der Landwirtschaft abhängig ist. Die Landwirtschaft trägt aber nur noch 12% zum Bruttoinlandprodukt bei; ihr Anteil sinkt, während die Anteile von Industrie (49%) und Dienstleistungen (39%) langfristig steigen. Nach offiziellen Angaben lag die Arbeitslosenquote 2007 in den Städten bei 4%. Die Asiatische Entwicklungsbank schätzt hingegen die städtische Arbeitslosigkeit auf über 8,5%, die im ländlichen Raum auf 30% (Quelle: http://www.auswaertiges-amt.de, Stand November 2008, besucht im April 2009). Vor diesem Hintergrund besteht ein vielfacher Wunsch zur Auswanderung, der sich vor allem bei denjenigen manifestiert, die bereits über ein minimales soziales Beziehungsnetz im Ausland verfügen. Im Falle der Schweiz führt dies angesichts der restriktiven fremdenpolizeilichen Zulassungsregelung nicht selten zur Umgehung ausländerrechtlicher Bestimmungen. Dabei geht es nicht etwa allein um die Einreichung von Asylgesuchen nach erfolgter Einreise, sondern es wird oftmals versucht, den Aufenthalt zu verlängern oder - beispielsweise durch Ausbildung oder Heirat - auf eine andere migrationsrechtliche Grundlage zu stellen.</w:t>
      </w:r>
    </w:p>
    <w:p>
      <w:r>
        <w:rPr>
          <w:b/>
        </w:rPr>
        <w:t>E. 8</w:t>
      </w:r>
    </w:p>
    <w:p>
      <w:r>
        <w:t>Unter den gegebenen Voraussetzungen ist nicht zu beanstanden, wenn die Vorinstanz das Risiko einer nicht fristgerechten Wiederausreise von Besuchern aus China generell als hoch einschätzt. Bei der Risikoanalyse sind allerdings nicht nur allgemeine Umstände und Erfahrungen, sondern auch sämtliche Gesichtspunkte des konkreten Einzelfalles zu berücksichtigen. Obliegt der gesuchstellenden Person beispielsweise eine besondere berufliche, gesellschaftliche oder familiäre Verantwortung, so kann dieser Umstand durchaus die Prognose für eine anstandslose Wiederausreise begünstigen.</w:t>
      </w:r>
    </w:p>
    <w:p>
      <w:r>
        <w:rPr>
          <w:b/>
        </w:rPr>
        <w:t>E. 9</w:t>
      </w:r>
    </w:p>
    <w:p>
      <w:r>
        <w:t>Bei der Gesuchstellerin handelt es sich um eine 25-jährige ledige Frau, welche angeblich die Cousine der Beschwerdeführerin ist. Letztere hat geltend gemacht, X._______ habe (mit ihrer Mutter, ihrem Verlobten und ihrer Arbeitsstelle) persönliche Bindungen bzw. Verpflichtungen in ihrer Heimat, welche ihrer Wiederausreise garantieren würden. Stichhaltig ist diese Argumentation jedoch nicht, zeigt doch die Praxis, dass der Emigrationswunsch gerade junger Leute nicht dadurch beschränkt wird, dass sie ihre Herkunftsfamilie im Heimatland zurücklassen müssen. Auch das behauptete Verlöbnis der Gesuchstellerin stellt nur eine Beziehung ohne rechtliche Verbindlichkeiten dar. Abgesehen von den somit offensichtlich fehlenden familiären Verpflichtungen scheint die Gesuchstellerin auch keine besonderen beruflichen Verbindlichkeiten zu haben. Sie selbst hat im Visumsantrag keine beruflichen Angaben gemacht; demgegenüber hat die Beschwerdeführerin erklärt, ihr Gast habe eine "gute Arbeitsstelle", und hierzu eine (gefaxte) Arbeitsbestätigung in chinesischer und englischer Sprache eingereicht. Nicht zuletzt wegen der dort angegebenen (und völlig unüblichen) Urlaubsdauer von 90 Tagen sind Zweifel an der behaupteten Berufstätigkeit angebracht. Schliesslich hat auch die schweizerische Vertretung bei der formlosen Verweigerung des Einreisegesuchs angemerkt, dass X._______ arbeitslos sei. Sowohl vor dem geschilderten persönlichen Hintergrund der Gesuchstellerin - der keine speziellen Verbindlichkeiten aufzeigt - als auch angesichts ihrer heimatlichen Lebenssituation wäre ein etwaiger Wunsch nach Auswanderung nachvollziehbar. Erst recht gilt dies deshalb, weil das schweizerische Generalkonsulat in Guangzhou darauf hingewiesen hat, dass die Provinz Fujian bekannt für die illegale Emigration ins westliche Ausland sei. Es kann nach alledem nicht ausgeschlossen werden, dass X._______ - einmal in die Schweiz eingereist - der Verpflichtung zur anstandslosen Wiederausreise womöglich nicht mehr nachkommt.</w:t>
      </w:r>
    </w:p>
    <w:p>
      <w:r>
        <w:rPr>
          <w:b/>
        </w:rPr>
        <w:t>E. 10</w:t>
      </w:r>
    </w:p>
    <w:p>
      <w:r>
        <w:t>Die Beschwerdeführerin hat betont, dass sie mit dem geplanten Besuch ihrer Cousine keine unlauteren Absichten verfolge; das Bundesamt hat dementsprechend auch die Integrität der Gastgeberin nicht angezweifelt. Allerdings ist festzuhalten, dass bei der Abwägung des Risikos einer nicht fristgerechten Wiederausreise nicht so sehr die Absichten des Gastgebers bzw. seine Integrität, sondern in erster Linie das mögliche Verhalten des Gastes selbst von Bedeutung sind. Nur Letzterer ist in der Lage, hinreichend Gewähr für seine Rückkehrbereitschaft zu bieten. Der Gastgeber kann zwar für gewisse finanzielle Risiken garantieren, mangels rechtlicher und faktischer Durchsetzbarkeit nicht aber für ein bestimmtes Verhalten des Gastes (vgl. Urteile des Bundesverwaltungsgerichts C-7758/2007 vom 28. April 2009 E. 9 und C-204/2008 vom 5. März 2009 E. 8.4).</w:t>
      </w:r>
    </w:p>
    <w:p>
      <w:r>
        <w:rPr>
          <w:b/>
        </w:rPr>
        <w:t>E. 11</w:t>
      </w:r>
    </w:p>
    <w:p>
      <w:r>
        <w:t>Die Vorinstanz durfte unter den gegebenen Umständen zu Recht davon ausgehen, die fristgerechte Wiederausreise der Gesuchstellerin sei nicht gewährleistet. Zwar lässt sich diese Einschätzung nicht zu einer gesicherten Feststellung verdichten; sie reicht aber aus, um die Erteilung einer Einreisebewilligung - auf welche, wie erwähnt, ohnehin kein Rechtsanspruch besteht - abzulehnen.</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der Beschwerdeführerin aufzuerlegen (vgl. Art. 63 Abs. 1 VwVG i.V.m. Art. 1 und Art. 3 des Reglements über die Kosten und Entschädigungen vor dem Bundesverwaltungsgericht vom 21. Februar 2008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