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C-7548/2008 vom 23. November 2010</w:t>
      </w:r>
    </w:p>
    <w:p>
      <w:r>
        <w:t>Bundesverwaltungsgericht, 2010-11-23, FR</w:t>
      </w:r>
    </w:p>
    <w:p>
      <w:r>
        <w:rPr>
          <w:b/>
        </w:rPr>
        <w:t xml:space="preserve">Quelle: </w:t>
      </w:r>
      <w:r>
        <w:t>https://mcp.opencaselaw.ch/entscheid/bvger_C-7548_2008</w:t>
      </w:r>
    </w:p>
    <w:p>
      <w:r>
        <w:t>FR: TAF C-7548/2008 du 23 novembre 2010</w:t>
      </w:r>
    </w:p>
    <w:p>
      <w:r>
        <w:t>IT: TAF C-7548/2008 del 23 novembre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LTAF. En particulier, les décisions rendues par l'OAIE concernant l'octroi de rente d'invalidité peuvent être contestées devant le TAF conformément à l'art. 69 al. 1 let. b de la loi fédérale du 19 juin 1959 sur l'assurance-invalidité (LAI, RS 831.20).</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1.3</w:t>
      </w:r>
    </w:p>
    <w:p>
      <w:r>
        <w:t>En vertu de l'art. 3 let. dbis PA la procédure en matière d'assurances sociales n'est pas régie par la cette loi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S'agissant du droit applicable, il convient encore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En l'espèce, le recourant a déposé sa demande de prestations AI le 3 juillet 2008 et la décision litigieuse a été prononcée le 28 octobre 2008. Les dispositions de la 5ème révision de la LAI et de la LPGA entrées en vigueur le 1er janvier 2008 sont donc applicables et les dispositions citées ci-après sont, sauf précision contraire, celles en vigueur à compter du 1er janvier 2008. Selon une jurisprudence constante, le juge des assurances sociales apprécie la légalité des décisions attaquées, en règle générale, d'après l'état de fait existant jusqu'au moment où la décision litigieuse a été rendue (ATF 116 V 246 consid. 1a et les arrêts mentionnés).</w:t>
      </w:r>
    </w:p>
    <w:p>
      <w:r>
        <w:rPr>
          <w:b/>
        </w:rPr>
        <w:t>E. 5</w:t>
      </w:r>
    </w:p>
    <w:p>
      <w:r>
        <w:t>Tout requérant doit remplir cumulativement les conditions suivantes pour avoir droit à une rente de l'assurance invalidité suisse: être invalide au sens de la LPGA/LAI et avoir versé de cotisations, durant trois années au total, dont au moins une en Suisse, auprès d'une assurance sociale assimilée d'un État membre de l'Union européenne (UE) ou de l'Association européenne de libre échange (FF 2005 p. 4291; art. 45 du règlement 1408/71). En l'occurrence, le recourant a versé des cotisations à l'AVS/AI suisse pendant plus de trois années au total et remplit, partant, la condition de la durée minimale de cotisations. Il reste dès lors à examiner si l'intéressé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 l'ALCP, les ressortissants d'un État membre de la Communauté européenne qui présentent un degré d'invalidité de 40% au moins, ont droit à un quart de rente s'ils ont leur domicile et leur résidence habituelle sur le sol d'un État membre.</w:t>
      </w:r>
    </w:p>
    <w:p>
      <w:r>
        <w:rPr>
          <w:b/>
        </w:rPr>
        <w:t>E. 6.3</w:t>
      </w:r>
    </w:p>
    <w:p>
      <w:r>
        <w:t>L'art. 28 al. 1 LAI prévoit que l'assuré a droit à une rente aux conditions suivantes: sa capacité de gain ou sa capacité d'accomplir ses travaux habituels ne peut pas être rétablie, maintenue ou améliorée par des mesures de réadaptation raisonnablement exigibles (art. 28 al. 1 let. a LAI);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En application de l'art. 29 al. 1 LAI, le droit à la rente prend naissance au plus tôt à l'échéance d'une période de six mois à compter de la date à laquelle l'assuré a fait valoir son droit aux prestations. 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w:t>
      </w:r>
    </w:p>
    <w:p>
      <w:r>
        <w:rPr>
          <w:b/>
        </w:rPr>
        <w:t>E. 7</w:t>
      </w:r>
    </w:p>
    <w:p>
      <w:r>
        <w:t>L'art. 8 al. 1 LAI prévoit que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 Selon l'art. 9 al. 1 LAI, les mesures de réadaptation sont appliquées en Suisse, et peuvent l'être exceptionnellement à l'étranger. Un 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Selon l'art. 16 LPGA, la réadaptation est prioritaire par rapport à l'octroi de la rente, qui est versée dans la mesure où la réadaptation a échoué (ATF 126 V 241 consid. 5, 108 V 210 consid. 1d).</w:t>
      </w:r>
    </w:p>
    <w:p>
      <w:r>
        <w:rPr>
          <w:b/>
        </w:rPr>
        <w:t>E. 8.1</w:t>
      </w:r>
    </w:p>
    <w:p>
      <w:r>
        <w:t>La notion d'invalidité de l'art. 28 al. 1 let. c LAI,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Depuis l'accident de travail du 23 août 2007, X._______ n'a pas repris d'activité lucrative. N'étant plus en mesure d'exercer sa profession de déménageur, il a demandé à bénéficier de mesures de reclassement professionnel afin de pouvoir travailler dans un domaine qui tienne compte de son état de santé, voire, implicitement, à bénéficier d'une rente AI. De son côté, l'Office AI a soutenu que le recourant serait en mesure de réaliser un revenu supérieur dans l'exercice d'une profession adaptée à ses limitations fonctionnelles que ce qu'il gagnait en tant que déménageur, de sorte qu'il ne subit aucune perte économique et ne remplit ni les conditions d'octroi de mesures professionnelles, ni celles de la rente d'invalidité.</w:t>
      </w:r>
    </w:p>
    <w:p>
      <w:r>
        <w:rPr>
          <w:b/>
        </w:rPr>
        <w:t>E. 10.1</w:t>
      </w:r>
    </w:p>
    <w:p>
      <w:r>
        <w:t>Le 23 août 2007, le timon d'une remorque a violemment heurté X._______ à la hauteur du genou gauche. Lors de l'examen du 19 mai 2008, le Dr A._______, chirurgien orthopédiste, a constaté que tout le système extenseur du genou gauche avait été endommagé. Le 22 septembre 2008, plus d'une année après l'accident, le Dr A._______ a confirmé sa précédente analyse, à savoir une atrophie nette du muscle quadricipital, des douleurs à la flexion du genou ainsi que des douleurs péri-rotuliennes. Selon le Dr A._______, ces séquelles vont demeurer durant de nombreuses années, voire sont permanentes (AI pce 95). Son diagnostic est, dans l'ensemble, partagé par les différents médecins qui sont intervenus au cours de la procédure. Le Dr C._______ (SUVA) a ainsi relevé, dans son examen médical final du 1er octobre 2008, une instabilité du pivot central au niveau du genou gauche, en relation probable avec le manque de substance au niveau de la musculature quadricipitale, une situation qui devait être considérée comme définitive. En revanche, les soupçons de lésion ligamentaire ont pu être écartés, comme l'a rappelé le Dr D._______ (SMR). Le Dr B._______ (médecin traitant) a considéré comme contre-indiqué l'exercice de toute activité nécessitant une flexion complète du genou, le port de charges supérieures à 10kg, la montée et descente fréquente d'un escalier. Selon lui, la diminution de l'activité professionnelle pourrait être évaluée au mieux par un médecin spécialiste en rééducation fonctionnelle (AI pces 93 et 94). X._______ a donc été dirigé vers le Dr E._______ (médecine physique et réadaptation). Celui-ci a évoqué les plaintes de son patient: douleurs antérieures à la cuisse et au genou gauche, s'aggravant en position assise, accroupie, à genoux, en montée ou en descente, ainsi qu'une sensation de lâchage imminent du genou. Ce médecin ne s'est pas prononcé sur les activités de substitution que le recourant serait en mesure d'exercer (TAF pce 1). De son côté, le Dr C._______, dans son rapport complet et détaillé du 1er octobre 2008, a également jugé que l'atteinte à l'intégrité corporelle subie par X._______ nécessitait une adaptation des sollicitations professionnelles. Il a considéré que dans des activités légères, ne comportant pas de déplacements importants et en tout cas pas en terrain irrégulier ou en pente, en évitant les échelles et les escaliers ainsi que les positions à genoux et accroupies, avec alternance entre la position assise et debout, la capacité de travail de l'assuré dans le contexte de places parfaitement adaptées était complète (cf. examen médical final, TAF pce 1). En cela, le Dr C._______ a repris les principales conclusions qu'il avait formulées en février 2008, lorsqu'il avait constaté que l'intéressé conservait une pleine capacité de travail dans une activité respectant ses limitations fonctionnelles (SUVA pce 27). A l'identique, le Dr A._______ a estimé que le port de charge lourde était défendu. En mai 2008, il avait déjà conseillé un reclassement professionnel car il ne voyait pas pourquoi le patient "récupérerait actuellement mieux d'un seul coup", une mesure qu'il a entérinée en septembre 2008, suggérant un reclassement ou l'aménagement du poste de travail de X._______ (AI pces 95 et 132). Le Dr D._______ (SMR) s'est rallié à la position émise par ses deux confrères (AI pce 129).</w:t>
      </w:r>
    </w:p>
    <w:p>
      <w:r>
        <w:rPr>
          <w:b/>
        </w:rPr>
        <w:t>E. 10.2</w:t>
      </w:r>
    </w:p>
    <w:p>
      <w:r>
        <w:t>Au vu de ce qui précède, le Tribunal constate que X._______ souffre d'un traumatisme musculaire du quadriceps suite à un écrasement, qui ne lui permet plus d'exercer son ancienne profession de déménageur. Il peut faire sienne les conclusions du Dr C._______, qui considère qu'en tenant compte des limitations fonctionnelles décrites dans ses rapports de février et octobre 2008, qui correspondent au demeurant à celles énoncées par les Drs A._______ et B._______, la capacité de travail de X._______ demeure entière dans une activité adaptée. Cette appréciation est parfaitement documentée, reflète avec exactitude l'évolution de l'état de santé de X._______ sur plus d'une année et n'est contredite par aucun des médecins ayant examiné l'assuré. Le Tribunal n'a dès lors pas de raisons de s'en écarter. En outre, à l'instar de l'OAIE, le Tribunal est d'avis que le recourant conserve la possibilité d'exercer à plein temps une activité de substitution au moins depuis le 19 juin 2008, soit un mois après les observations formulées par le Dr A._______ dans son certificat du 19 mai 2008, selon lequel l'état de santé du recourant n'était plus guère susceptible d'évoluer.</w:t>
      </w:r>
    </w:p>
    <w:p>
      <w:r>
        <w:rPr>
          <w:b/>
        </w:rPr>
        <w:t>E. 11.1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11.2</w:t>
      </w:r>
    </w:p>
    <w:p>
      <w:r>
        <w:t>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[OFS] (ATF 126 V 75 consid. 3b/aa et bb). Selon la jurisprudence récente du Tribunal fédéral, lorsqu'un assuré a réalisé un revenu sans invalidité nettement inférieur au salaire statistique usuel de la branche en raison de facteurs étrangers à l'invalidité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(loc. cit. consid. 6.1.3).</w:t>
      </w:r>
    </w:p>
    <w:p>
      <w:r>
        <w:rPr>
          <w:b/>
        </w:rPr>
        <w:t>E. 12.1</w:t>
      </w:r>
    </w:p>
    <w:p>
      <w:r>
        <w:t>En l'espèce, le recourant était employé avec un salaire horaire en tant que déménageur à un taux d'occupation correspondant à 85% (cf. déclaration de sinistre LAA, SUVA pce 42; mémoire de recours, TAF pce 1). Il a dû cesser cette activité en août 2007, suite à son accident, même s'il n'a été effectivement licencié qu'ultérieurement. In casu, il s'agit de comparer les revenus en fonction de ce qu'ils étaient, ou auraient pu être, douze mois après l'accident causant l'incapacité survenu le 23 août 2007 (art. 29 al. 1 let. b LAI; ATF 129 V 222 consid. 4.3.1 et 4.4; ATF 128 V 174; arrêt du Tribunal administratif fédéral C-4599/2007 du 27 avril 2009 consid. 10.1). La comparaison des revenus doit donc être effectuée sur la bases des données salariales portant sur l'année 2008. Selon le décompte de salaire présent au dossier, au cours de l'année 2007, X._______ a perçu pour les huit premiers mois de l'année un salaire brut de Fr. 32'996.27 (pce 109), soit un salaire brut annuel de Fr. 49'494.40 pour un taux d'occupation à 85% ou Fr. 58'228.70 pour un taux d'occupation à 100%. Indexé à 2008 ([Fr. 58'228.70 x 2092 : 2047]; cf. Evolution des salaires nominaux, des prix à la consommation et des salaires réels de l'OFS, T1.39), le revenu annuel sans invalidité s'établit à Fr. 59'508.80 (salaire brut à 100%). Ce chiffre s'éloigne sensiblement du montant retenu par l'Office AI (cf. calcul de la perte économique selon ESS, AI pce 102). En effet, l'Office AI s'est basé sur un salaire perçu en 1997 (puis indexé) plutôt que sur le dernier salaire obtenu par l'assuré, tel qu'il ressort du décompte fourni par son employeur. En outre, l'Office AI n'a, semble-t-il, pas tenu compte du taux d'occupation du recourant. Pour ces différentes raisons, son calcul ne saurait être suivi.</w:t>
      </w:r>
    </w:p>
    <w:p>
      <w:r>
        <w:rPr>
          <w:b/>
        </w:rPr>
        <w:t>E. 12.2</w:t>
      </w:r>
    </w:p>
    <w:p>
      <w:r>
        <w:t>Selon le Tableau TA1 relatif aux salaires mensuels bruts standardisés de l'ESS 2008 de l'OFS, un homme avec niveau de qualification 3 travaillant dans le domaine des transports terrestre (60), tel que retenu par l'OAIE (pce 102), obtient un revenu statistique moyen mensuel de Fr. 5'330.--, à savoir annuellement Fr. 63'960.-- (Fr. 5'330 x 12). Cette donnée (calculée sur 40 h/sem.) doit être adaptée au nombre d'heure hebdomadaire effectué en moyenne en 2008 dans ce secteur (42.7 h/sem., Statistique de la durée normale du travail dans les entreprises [DNT] de l'OFS), soit Fr. 68'277.30. Aussi, il apparaît que le recourant réalisait, en exerçant son activité lucrative habituelle, un revenu représentant le 87.15% (Fr. 59'508.80 x 100 : Fr. 68'277.30) du salaire usuel de la branche. Dans la mesure où le salaire effectivement obtenu est nettement inférieur (12.85%) au sens de la jurisprudence du Tribunal fédéral, et que les autres conditions sont réalisées, il convient d'effectuer un parallélisme des revenus à comparer. La valeur statistique du revenu d'invalide sera en conséquence réduite de 7.85% (12.85% - 5%).</w:t>
      </w:r>
    </w:p>
    <w:p>
      <w:r>
        <w:rPr>
          <w:b/>
        </w:rPr>
        <w:t>E. 12.3</w:t>
      </w:r>
    </w:p>
    <w:p>
      <w:r>
        <w:t>Les activités de substitution proposée par les médecins ayant examiné X._______, plus particulièrement par le Dr C._______ (SUVA), regroupent des activités tels qu'opérateur ou ouvrier de polissage (cf. décision du 18 décembre 2008 de la SUVA, SUVA pce 41). Elles sont comparables à celles exercées par un homme de qualification 4 (activités simples et répétitives) dans le domaine de la production (toutes branches confondues, TA1 10-45) pour un salaire mensuel brut de Fr. 5'137.-- ou annuel de Fr. 61'644.--. Adapté au nombre d'heures effectuées dans ce secteur d'activité en 2008 (41.3 h/sem., DNT), le revenu théorique annuel d'une activité de substitution à 100% doit être porté à Fr. 63'647.40. En raison du parallélisme des revenus, ce salaire théorique doit être réduit de 7.85%, de sorte que le salaire annuel d'invalide équivaut à Fr. 58'651.10. Compte tenu de l'âge du recourant au jour de la décision querellée (34 ans), il se justifie d'opérer, à l'instar de l'administration, une réduction du salaire d'invalide de 10%, l'abaissement maximal pour raison d'âge et de handicap admis par la jurisprudence étant de 25% (ATF 126 V 728 consid. 5), étant rappelé que malgré les limitations fonctionnelles que X._______ doit observer, il peut effectuer une activité de substitution à plein temps. Le revenu annuel d'invalide de X._______ se monte ainsi à Fr. 52'786.--.</w:t>
      </w:r>
    </w:p>
    <w:p>
      <w:r>
        <w:rPr>
          <w:b/>
        </w:rPr>
        <w:t>E. 12.4</w:t>
      </w:r>
    </w:p>
    <w:p>
      <w:r>
        <w:t>Il en découle que la comparaison du revenu sans invalidité de Fr. 59'508.80 au revenu d'invalide de Fr. 52'786.-- fait apparaître un préjudice économique de 11.30%. Ce taux n'est toutefois pas suffisant pour ouvrir le droit à une rente ou à des mesures professionnelles.</w:t>
      </w:r>
    </w:p>
    <w:p>
      <w:r>
        <w:rPr>
          <w:b/>
        </w:rPr>
        <w:t>E. 12.5</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175/04du 28 janvier 2005 consid. 3; Jurisprudence et pratique administrative des autorités d'exécution de l'AVS/AI (VSI) 1999 p. 247 consid. 1, 1998 p. 296 consid. 3b). Partant, le recours est rejeté et la décision du 28 octobre 2008 est confirmée.</w:t>
      </w:r>
    </w:p>
    <w:p>
      <w:r>
        <w:rPr>
          <w:b/>
        </w:rPr>
        <w:t>E. 13</w:t>
      </w:r>
    </w:p>
    <w:p>
      <w:r>
        <w:t>Les frais de procédure, fixés à Fr. 300.--, sont mis à la charge du recourant (art. 63 al. 1 PA, applicable par le truchement de l'art. 37 LTAF). Ils sont compensés par l'avance de frais dont il s'est acquitté au cours de l'instruction. Vu l'issue du litige, il n'est pas alloué de dépens (art.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