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C-7544/2014 vom 13. Oktober 2016</w:t>
      </w:r>
    </w:p>
    <w:p>
      <w:r>
        <w:t>Bundesverwaltungsgericht, 2016-10-13, DE</w:t>
      </w:r>
    </w:p>
    <w:p>
      <w:r>
        <w:rPr>
          <w:b/>
        </w:rPr>
        <w:t xml:space="preserve">Quelle: </w:t>
      </w:r>
      <w:r>
        <w:t>https://mcp.opencaselaw.ch/entscheid/bvger_C-7544_2014</w:t>
      </w:r>
    </w:p>
    <w:p>
      <w:r>
        <w:t>FR: TAF C-7544/2014 du 13 octobre 2016</w:t>
      </w:r>
    </w:p>
    <w:p>
      <w:r>
        <w:t>IT: TAF C-7544/2014 del 13 ottobre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einzutreten.</w:t>
      </w:r>
    </w:p>
    <w:p>
      <w:r>
        <w:rPr>
          <w:b/>
        </w:rPr>
        <w:t>E. 2</w:t>
      </w:r>
    </w:p>
    <w:p>
      <w:r>
        <w:t>Das Vorliegen einer anspruchserheblichen Invalidität sowie die hier streitige Frage, ob die Vorinstanz zu Recht nicht auf die Neuanmeldung eingetreten ist, beurteilt sich auch im Anwendungsbereich des FZA und der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nach schweizerischem Recht (vgl. Urteil BVGer C-6027/2014 vom 8. Februar 2016 E. 2.1 mit Hinweisen).</w:t>
      </w:r>
    </w:p>
    <w:p>
      <w:r>
        <w:rPr>
          <w:b/>
        </w:rPr>
        <w:t>E. 2.1</w:t>
      </w:r>
    </w:p>
    <w:p>
      <w:r>
        <w:t>Für die beschwerdeweise Überprüfung einer Nichteintretensverfügung ist der Sachverhalt, wie er sich der Verwaltung bot, respektive die Aktenlage bei Erlass dieser Verfügung massgeblich (BGE 133 V 108 E. 5.4; 130 V 64 E. 5.2.5; Urteil BGer 9C_635/2015 vom 16. Oktober 2015 E. 2.1).</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i.V.m. Abs. 2 IVV [SR 831.201]; BGE 130 V 71 E. 2.2 mit Hinweisen).</w:t>
      </w:r>
    </w:p>
    <w:p>
      <w:r>
        <w:rPr>
          <w:b/>
        </w:rPr>
        <w:t>E. 2.2.1</w:t>
      </w:r>
    </w:p>
    <w:p>
      <w:r>
        <w:t>Die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verändert hat. Um zu verhindern, dass sich die Verwaltung mit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u.a. berücksichtigen, ob die frühere Verfügung nur kurze oder schon längere Zeit zurückliegt, und dementsprechend an die Glaubhaftmachung höhere oder weniger hohe Anforderungen stellen (BGE 109 V 262 E. 3; Urteil BGer 9C_68/2007 vom 19. Oktober 2007 E. 3.3). Gelingt der versicherten Person die Glaubhaftmachung nicht, so wird auf das Gesuch nicht eingetreten. Ist die anspruchserhebliche Änderung glaubhaft gemacht, ist die Verwaltung verpflichtet, auf das neue Leistungsbegehren einzutreten und es in tatsächlicher und rechtlicher Hinsicht umfassend zu prüfen (vgl. BGE 117 V 198 E. 4b; Urteil BGer 9C_523/2014 vom 19. November 2014 E. 2).</w:t>
      </w:r>
    </w:p>
    <w:p>
      <w:r>
        <w:rPr>
          <w:b/>
        </w:rPr>
        <w:t>E. 2.2.2</w:t>
      </w:r>
    </w:p>
    <w:p>
      <w:r>
        <w:t>Mit dem Beweismass des Glaubhaftmachens sind herabgesetzte Anforderungen an den Beweis verbunden; die Tatsachenänderung muss also nicht nach dem im Sozialversicherungsrecht sonst üblichen 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(9C_523/2014 E. 2 mit Hinweisen).</w:t>
      </w:r>
    </w:p>
    <w:p>
      <w:r>
        <w:rPr>
          <w:b/>
        </w:rPr>
        <w:t>E. 2.2.3</w:t>
      </w:r>
    </w:p>
    <w:p>
      <w:r>
        <w:t>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Bei Alkohol-, Medikamenten- und Drogenabhängigkeit sind folgende, von der Rechtsprechung entwickelten Grundsätze zu beachten (siehe Urteil BGer 8C_582/2015 vom 8. Oktober 2015 E. 2.2 mit Hinweisen):</w:t>
      </w:r>
    </w:p>
    <w:p>
      <w:r>
        <w:rPr>
          <w:b/>
        </w:rPr>
        <w:t>E. 2.4.1</w:t>
      </w:r>
    </w:p>
    <w:p>
      <w:r>
        <w:t>Nach der Rechtsprechung führt eine Abhängigkeit von psychotropen Substanzen (Alkohol, Medikamente, Drogen)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Suchtproblematik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BGer 8C_580/2014 vom 11. März 2015 E. 2.2.1 und 9C_856/2012 vom 19. August 2013 E. 2.2.1; 8C_582/2015 E. 2.2.1).</w:t>
      </w:r>
    </w:p>
    <w:p>
      <w:r>
        <w:rPr>
          <w:b/>
        </w:rPr>
        <w:t>E. 2.4.2</w:t>
      </w:r>
    </w:p>
    <w:p>
      <w:r>
        <w:t>Angesichts der insoweit finalen Natur der Invalidenversicherung (BGE 120 V 95 E. 4c) ist nicht entscheidend, ob die Abhängigkeit von psychotropen Substanzen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Suchtproblematik - einem Symptom gleich - Teil eines Gesundheitsschadens bildet;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Substanzabhängigkeit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(8C_582/2015 E. 2.2.2 mit Hinweis auf Urteile BGer 8C_580/2014 vom 11. März 2015 E. 2.2.2 und 9C_856/2012 vom 19. August 2013 E. 2.2.2).</w:t>
      </w:r>
    </w:p>
    <w:p>
      <w:r>
        <w:rPr>
          <w:b/>
        </w:rPr>
        <w:t>E. 3</w:t>
      </w:r>
    </w:p>
    <w:p>
      <w:r>
        <w:t>Zu prüfen ist, ob im vorinstanzlichen Verfahren eine revisionsrechtlich erhebliche Veränderung seit der ersten (abweisenden) Verfügung vom 2. Oktober 2013 glaubhaft gemacht worden ist.</w:t>
      </w:r>
    </w:p>
    <w:p>
      <w:r>
        <w:rPr>
          <w:b/>
        </w:rPr>
        <w:t>E. 3.1</w:t>
      </w:r>
    </w:p>
    <w:p>
      <w:r>
        <w:t>Der RAD-Arzt Dr. F._______ stützte sich in seiner Beurteilung vom 8. Juli 2013 im Wesentlichen auf die im Auftrag der DRV erstellten Gutachten von Dr. B._______ und Dr. A._______, welche den Anforderungen an ein medizinisches Gutachten entsprächen. Als Hauptdiagnosen werden Zustand nach Verbrennungstrauma 2009 (29% der Körperoberfläche) und Zustand nach ARDS (vermutlich: Acute Respiratory Distress Syndrome) infolge Inhalationstrauma 2009 genannt. Als Nebendiagnosen ohne Auswirkungen auf die Arbeitsfähigkeit werden aufgeführt: Alkoholabhängigkeitssyndrom (ICD-10 F10.20), arterielle Hypertonie, axiale Hiatushernie, Refluxkrankheit, periphere Polyneuropathie, Zustand nach Discusprolaps 2003 (IV-act. 50 S. 3). Laut Gutachten von Dr. A._______ führte die Alkoholkrankheit zwar zu körperlichen Symptomen (u.a. Gastritis, Leberschädigung, neurologische Ausfälle; vermutlich auch schnellere Ermüdbarkeit und Nachlassen der Gedächtnisleistung); die Leistungsfähigkeit sei aber nur in geringem Umfang und die Erwerbsfähigkeit gar nicht eingeschränkt. Aus neurologischer/psychiatrischer Sicht sei eine tägliche Arbeitszeit von über sechs Stunden zumutbar (IV-act. 5 S. 9 f.). Gemäss dem Gutachten von Dr. B._______ sind die Folgen des Brandunfalls erheblich und führen zu einer dauerhaften Einschränkung der Leistungsfähigkeit; die (regelmässige) Ausübung von schweren und mittelschweren Arbeiten sei nicht mehr zumutbar. Eine leichte körperliche Arbeit könne - aus internistischer Sicht - jedoch vollschichtig ausgeübt werden (IV-act. 6 S. 7).</w:t>
      </w:r>
    </w:p>
    <w:p>
      <w:r>
        <w:rPr>
          <w:b/>
        </w:rPr>
        <w:t>E. 3.2</w:t>
      </w:r>
    </w:p>
    <w:p>
      <w:r>
        <w:t>Im Neuanmeldungsverfahren lag namentlich das sozialmedizinische Gutachten von Dr. G._______ (vom medizinischen Dienst der Krankenversicherung) vom 7. März 2014 (IV-act. 61) und das im Auftrag der DRV erstellte psychiatrische Gutachten von Dr. D._______ vom 11. März 2014 (IV-act. 66) vor.</w:t>
      </w:r>
    </w:p>
    <w:p>
      <w:r>
        <w:rPr>
          <w:b/>
        </w:rPr>
        <w:t>E. 3.2.1</w:t>
      </w:r>
    </w:p>
    <w:p>
      <w:r>
        <w:t>Dr. D._______ diagnostizierte eine Alkoholkrankheit (phasisch rezidivierend, aktuell trocken), eine toxische Polyneuropathie, anamnestisch toxisch bedingte epileptische Anfälle, Zustand nach ausgedehnter Verbrennung. Die körperlichen Zeichen seien nicht sehr ausgeprägt, das Gesamtbild aber spreche für einen doch erheblichen Einfluss der Alkoholanamnese. Auch wenn der Versicherte - wie er behaupte - aktuell trocken sei, müsse man von einer bleibenden Schädigung ausgehen. Eine Rehabilitationsmassnahme mache wenig Sinn, der Versicherte sei vermutlich nicht mehr in der Lage, einer Tätigkeit von Belang vollschichtig nachzugehen. Seine letzte berufliche Tätigkeit (oder andere Tätigkeiten) könne er nur noch während weniger als drei Stunden ausüben (IV-act. 66 S. 9 f.).</w:t>
      </w:r>
    </w:p>
    <w:p>
      <w:r>
        <w:rPr>
          <w:b/>
        </w:rPr>
        <w:t>E. 3.2.2</w:t>
      </w:r>
    </w:p>
    <w:p>
      <w:r>
        <w:t>Dr. G._______ diagnostizierte eine schwere depressive Episode, Alkoholabhängigkeit, Zustand nach Verbrennung, Alkoholgastritis und arterielle Hypertonie. Aus sozialmedizinisch-psychiatrischer Sicht sei die Erwerbsfähigkeit erheblich gefährdet. Aufgrund der komorbiden Depression bestehe ein hohes Risiko für weitere Dekompensationen mit einer Verschlechterung von Alkoholfolgeschäden. Auf dem allgemeinen Arbeitsmarkt bestehe derzeit kein positives Leistungsbild bei deutlichen Einschränkungen in den Bereichen Durchhaltefähigkeit, Selbstbehauptungsfähigkeit, Kontaktfähigkeit zu Dritten und Gruppen. Ferner bestünden Einschränkungen im Bereich der Fähigkeit zur Selbstpflege. Aus medizinischer Sicht sei der Versicherte weiterhin arbeitsunfähig.</w:t>
      </w:r>
    </w:p>
    <w:p>
      <w:r>
        <w:rPr>
          <w:b/>
        </w:rPr>
        <w:t>E. 3.2.3</w:t>
      </w:r>
    </w:p>
    <w:p>
      <w:r>
        <w:t>Es trifft zwar zu, dass die beiden Gutachten den Anforderungen der Rechtsprechung an eine beweiskräftige Expertise (vgl. BGE 134 V 231 E. 5.1; 125 V 351 E. 3a) nicht entsprechen, wie die Ärzte des medizinischen Dienstes der IVSTA (Dr. C._______ und Dr. E._______) zu Recht feststellten. Für das Glaubhaftmachen einer erheblichen Verschlechterung ist dies indessen auch nicht erforderlich (vgl. E. 2.2.3).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(vgl. E. 2.2.2). Die beiden Sachverständigen attestieren dem Beschwerdeführer - im Unterschied zu den Gutachten, welche der ersten Verfügung zugrunde lagen - nur noch eine geringe Restarbeitsfähigkeit; ihre Gutachten sind durchaus geeignet, eine Verschlechterung glaubhaft zu machen. Ob die Alkoholabhängigkeit vorliegend als IV-rechtlich unbeachtlich zu gelten hat oder ob allenfalls die in E. 2.4 dargelegten Voraussetzungen für einen IV-relevanten Gesundheitsschaden gegeben sind, lässt sich aufgrund der Akten nicht beurteilen. Das Gutachten von Dr. G._______ - welches nicht zur Beurteilung des Rentenanspruchs erstellt wurde - lässt jedenfalls nicht ohne Weiteres den Schluss zu, es liege allein eine nicht invalidisierende Abhängigkeitsproblematik vor.</w:t>
      </w:r>
    </w:p>
    <w:p>
      <w:r>
        <w:rPr>
          <w:b/>
        </w:rPr>
        <w:t>E. 3.3</w:t>
      </w:r>
    </w:p>
    <w:p>
      <w:r>
        <w:t>Demnach hätte die Vorinstanz auf die Neuanmeldung eintreten und die für die Beurteilung des Rentenanspruchs wesentlichen Abklärungen von Amtes wegen (Art. 43 Abs. 1 ATSG) vornehmen müssen. Die Beschwerde ist in dem Sinne gutzuheissen, dass die angefochtene Verfügung aufzuheben und die Sache zur materiellen Prüfung des Leistungsanspruchs an die Vorinstanz zurückzuweisen ist.</w:t>
      </w:r>
    </w:p>
    <w:p>
      <w:r>
        <w:rPr>
          <w:b/>
        </w:rPr>
        <w:t>E. 4.1</w:t>
      </w:r>
    </w:p>
    <w:p>
      <w:r>
        <w:t>Gemäss Art. 63 Abs. 1 VwVG sind die Verfahrenskosten in der Regel der unterliegenden Partei aufzuerlegen. Der unterliegenden Vorinstanz werden jedoch keine Verfahrenskosten auferlegt (Art. 63 Abs. 2 VwVG).</w:t>
      </w:r>
    </w:p>
    <w:p>
      <w:r>
        <w:rPr>
          <w:b/>
        </w:rPr>
        <w:t>E. 4.2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1'500.- angemessen (vgl. Art. 9 Abs. 1 i.V.m. Art. 10 Abs. 2 VGKE).</w:t>
      </w:r>
    </w:p>
    <w:p>
      <w:r>
        <w:rPr>
          <w:b/>
        </w:rPr>
        <w:t>E. 4.3</w:t>
      </w:r>
    </w:p>
    <w:p>
      <w:r>
        <w:t>Bei diesem Ergebnis braucht der Beschwerdeführer das ihm gewährte Recht auf unentgeltliche Rechtspflege (vgl. Sachverhalt F) nicht zu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