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C-753/2009 vom 24. April 2009</w:t>
      </w:r>
    </w:p>
    <w:p>
      <w:r>
        <w:t>Bundesverwaltungsgericht, 2009-04-24, DE</w:t>
      </w:r>
    </w:p>
    <w:p>
      <w:r>
        <w:rPr>
          <w:b/>
        </w:rPr>
        <w:t xml:space="preserve">Quelle: </w:t>
      </w:r>
      <w:r>
        <w:t>https://mcp.opencaselaw.ch/entscheid/bvger_C-753_2009</w:t>
      </w:r>
    </w:p>
    <w:p>
      <w:r>
        <w:t>FR: TAF C-753/2009 du 24 avril 2009</w:t>
      </w:r>
    </w:p>
    <w:p>
      <w:r>
        <w:t>IT: TAF C-753/2009 del 24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 Staatsangehörige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oder Bürgern aus Staaten bzw. Regionen mit politisch oder wirtschaftlich vergleichsweise ungünstigen Verhältnissen können darauf hindeuten, dass die persönliche Interessenlage in solche Fällen nicht mit dem Ziel und Zweck einer zeitlich befristeten Einreisebewilligung in Einklang steht.</w:t>
      </w:r>
    </w:p>
    <w:p>
      <w:r>
        <w:rPr>
          <w:b/>
        </w:rPr>
        <w:t>E. 7.3</w:t>
      </w:r>
    </w:p>
    <w:p>
      <w:r>
        <w:t>Die Gesuchstellerin stammt aus Thailand. Die Wirtschaft dieses Landes hat sich zwar nach der Asienkrise von 1997/98 überraschend schnell erholt. Das Wachstum des Bruttoinlandproduktes zog von 2001 (2.2 %) bis 2003 (7.1 %) respektive 2004 (6.3 %) stark an. In den Jahren 2005 bis 2007 verlangsamte sich das Wirtschaftswachstum jedoch mit einer Wachstumsrate von 4.5 %, 5.1 % und 4.8 %, was auf die innenpolitische Unsicherheit, aufkommende Gewalt in den vier südlichsten Provinzen des Landes und Auswirkungen des verheerenden Tsunami von 2004 zurückzuführen ist (Quelle: U.S. Departement of State, &lt;http://www.state.gov&gt;, Travel &gt; Countries and Regions &gt; Background Notes &gt; Thailand, Stand: Januar 2009, besucht im April 2009). Die grundsätzlich ermutigende wirtschaftliche Entwicklung kann aber nicht über die Tatsache hinwegtäuschen, dass nach wie vor breite Bevölkerungsschichten von vergleichsweise schwierigen ökonomischen und sozialen Lebensbedingungen betroffen sind. Das Bruttoinlandprodukt (BIP) pro Kopf betrug im Jahre 2007 nur gerade USD 3'732, im Jahr 2008 schätzungsweise USD 4'099 (Quelle: Staatssekretariat für Wirtschaft, &lt;http://www.seco.admin.ch&gt;, Themen &gt; Aussenwirtschaft &gt; Länderinformationen &gt; Asien/Ozeanien &gt; Thailand, Stand: März 2009, besucht im April 2009).</w:t>
      </w:r>
    </w:p>
    <w:p>
      <w:r>
        <w:rPr>
          <w:b/>
        </w:rPr>
        <w:t>E. 7.4</w:t>
      </w:r>
    </w:p>
    <w:p>
      <w:r>
        <w:t>Die Tendenz zur Auswanderung zeigt sich erfahrungsgemäss besonders stark bei jüngeren und ungebundenen Personen, aber auch sozial eingebundene Menschen reiferen Alters fassen oft diesen Weg ins Auge. Ein bestehendes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sich hier festzusetzen.</w:t>
      </w:r>
    </w:p>
    <w:p>
      <w:r>
        <w:rPr>
          <w:b/>
        </w:rPr>
        <w:t>E. 8.1</w:t>
      </w:r>
    </w:p>
    <w:p>
      <w:r>
        <w:t>Neben solchen allgemeinen Umständen und Erfahrungen sind bei der Risikoanalyse auch sämtliche Gesichtspunkte des konkreten Einzelfalles in Betracht zu ziehen. Obliegt einem Gesuchsteller bzw. einer Gesuchstellerin im Heimat- oder ständigen Aufenthaltsstaat beispielsweise eine besondere berufliche, gesellschaftliche oder familiäre Verpflichtung,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Bei der Eingeladenen handelt es sich um eine 22-jährige, unverheiratete Frau und Mutter eines mittlerweile dreijährigen Kindes, welches gemäss Angaben des Beschwerdeführers im Kinderspital in Bangkok betreut werden muss. Auf den ersten Blick könnte der Umstand, dass die Gesuchstellerin für die Dauer ihres Besuchsaufenthaltes in der Schweiz den minderjährigen Sohn in der Heimat zurücklassen würde, durchaus für eine gewisse Verwurzelung sprechen. Andererseits lässt die Tatsache, dass nicht bloss ein Aufenthalt in der Schweiz von einigen Wochen, sondern gleich von drei Monaten angestrebt wird, nicht ohne weiteres darauf schliessen, die Präsenz der Gesuchstellerin sei für die Belange ihrer Familie unverzichtbar; aufgrund der Aktenlage ist eher davon auszugehen, die von ihr geleistete Unterstützung und Betreuung des Sohnes, der offenbar hospitalisiert ist und dauernder ärztlicher Pflege bedarf, könne durchaus für längere Zeit auch auf andere Weise sichergestellt werden. Im Übrigen zeigt die Erfahrung, dass zurückbleibende Familienmitglieder gerade in Situationen angespannter wirtschaftlicher Verhältnisse nicht verlässlich davon abhalten können, den Entschluss für eine Emigration zu fällen. Im Gegenteil, der Entscheid kann dabei von der Hoffnung getragen sein, die Zurückgebliebenen aus dem Ausland wirtschaftlich effizienter unterstützen oder gegebenenfalls später nachziehen zu können. Insofern kann nicht ausschlaggebend sein, dass die Vorinstanz die Eingeladene ursprünglich noch als kinderlos bezeichnet hat (vgl. Verfügung vom 23. Januar 2009). Abgesehen davon erwähnte der Beschwerdeführer in seinen Eingaben an die Schweizer Botschaft in Bangkok vom 24. und 26. November 2008 sowie in seinem Antwortschreiben an die kantonale Migrationsbehörde vom 29. Dezember 2008 den minderjährigen Sohn seiner Freundin mit keinem Wort. Auf entsprechende Frage nach den Familienangehörigen hielt er vielmehr fest, Schwester und Vater der Gesuchstellerin arbeiteten und lebten in Phuket/Thailand, währenddem die Mutter wieder verheiratet und in Österreich wohnhaft sei.</w:t>
      </w:r>
    </w:p>
    <w:p>
      <w:r>
        <w:rPr>
          <w:b/>
        </w:rPr>
        <w:t>E. 8.3</w:t>
      </w:r>
    </w:p>
    <w:p>
      <w:r>
        <w:t>Die wirtschaftlichen Verhältnisse, in denen sich die Eingeladene befindet, lassen ebenfalls nicht auf eine günstige Prognose bezüglich einer gesicherten Wiederausreise schliessen. So soll sie - vormals während einiger Monate als Serviceangestellte in einem Ferienhotel in Phuket beschäftigt - gemäss den Ausführungen des Beschwerdeführers wieder eine neue Arbeitsstelle gefunden haben. Entsprechende Arbeitsbestätigungen oder allfällige Einkommensbelege, welche die angeblichen beruflichen Bindungen der Gesuchstellerin in Thailand zweifelsfrei nachgewiesen hätten, wurden hingegen von den Beteiligten nicht vorgewiesen. Vor diesem Hintergrund müssen die Beteuerungen auf Beschwerdeebene, wonach genügend Garantien für eine fristgerechte Wiederausreise vorhanden seien, als nicht ausschlaggebend bezeichnet werden. Im Übrigen hegte auch die Schweizerische Vertretung in Bangkok,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 Für die Annahme, die Schweizervertretung hätte bei der Entgegennahme und Behandlung des Einreisegesuches nicht korrekt gehandelt, ergeben sich aus den Akten keine Hinweise.</w:t>
      </w:r>
    </w:p>
    <w:p>
      <w:r>
        <w:rPr>
          <w:b/>
        </w:rPr>
        <w:t>E. 8.4</w:t>
      </w:r>
    </w:p>
    <w:p>
      <w:r>
        <w:t>Gestützt auf die vorstehenden Erwägungen durfte die Vorinstanz - ohne gegen das Willkürverbot zu verstossen -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w:t>
      </w:r>
    </w:p>
    <w:p>
      <w:r>
        <w:rPr>
          <w:b/>
        </w:rPr>
        <w:t>E. 8.5</w:t>
      </w:r>
    </w:p>
    <w:p>
      <w:r>
        <w:t>An dieser Risikoeinschätzung vermögen auch die Hinweise des Beschwerdeführers auf seinen einwandfreien Leumund nichts zu ändern. Seine Integrität in seiner Eigenschaft als Gastgeber wird auch gar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Verplichtungserklärung am 29. Dezember 2008 geschehen ist - zwar für gewisse finanzielle Risiken (Lebensunterhaltskosten während des Besuchsaufenthaltes, allfällige Kosten für Unfall und Krankheit sowie Rückreisekosten) Garantie leisten. Für ein bestimmtes Verhalten des Gastes kann er aber, mangels rechtlicher und faktischer Durchsetzbarkeit, nicht garantieren, auch nicht mit der Hinterlegung einer Geldsumme (Kaution) für den Fall, dass der Gast die Schweiz nach Ablauf des Besuchsaufenthaltes nicht wieder verlassen sollte (vgl. anstelle vieler: Urteile des Bundesverwaltungsgerichts C-2618/2008 vom 26. Februar 2009 E. 11 und C-8300/2007 vom 19. November 2008 E. 5.3). Der (durchaus verständliche) Wunsch des Beschwerdeführers, sich bei der Eingeladenen für deren Gastfreundschaft zu revanchieren, hat demnach in den Hintergrund zu treten. Auch die weiteren Ausführungen des Beschwerdeführers sind nicht geeignet, zu einer von der Vorinstanz abweichenden, rechtlichen Würdigung zu gelangen.</w:t>
      </w:r>
    </w:p>
    <w:p>
      <w:r>
        <w:rPr>
          <w:b/>
        </w:rPr>
        <w:t>E. 9</w:t>
      </w:r>
    </w:p>
    <w:p>
      <w:r>
        <w:t>Aus diesen Gründen ist somit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Für eine Rückerstattung des bezahlten Kostenvorschusses, wie vom Beschwerdeführer beantragt, bleibt hingegen vorliegend kein Raum. Wie unter Erwägung 8.2 dargelegt, vermochte auch das bestehende Kindesverhältnis nicht zu einer anderen (rechtlichen) Beurteilung zu führen.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