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C-7510/2010 vom 20. November 2012</w:t>
      </w:r>
    </w:p>
    <w:p>
      <w:r>
        <w:t>Bundesverwaltungsgericht, 2012-11-20, DE</w:t>
      </w:r>
    </w:p>
    <w:p>
      <w:r>
        <w:rPr>
          <w:b/>
        </w:rPr>
        <w:t xml:space="preserve">Quelle: </w:t>
      </w:r>
      <w:r>
        <w:t>https://mcp.opencaselaw.ch/entscheid/bvger_C-7510_2010</w:t>
      </w:r>
    </w:p>
    <w:p>
      <w:r>
        <w:t>FR: TAF C-7510/2010 du 20 novembre 2012</w:t>
      </w:r>
    </w:p>
    <w:p>
      <w:r>
        <w:t>IT: TAF C-7510/2010 del 20 novembre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Auf den 1. Januar 2011 trat als Folge der Weiterentwicklung des Schengen-Besitzstandes eine neue Fassung von Art. 67 AuG in Kraft (zum Ganzen vgl. BBl 2009 8881 und AS 2010 5925). Nach Art. 67 Abs. 1 AuG wird ein Einreiseverbot vom BFM unter Vorbehalt von Abs. 5 gegenüber weggewiesenen Ausländerinnen und Ausländern verfügt, wenn die Wegweisung nach Art. 64d Abs. 2 Bst. a - c AuG sofort vollstreckt wird (Art. 67 Abs. 1 Bst. a AuG) oder die betroffene Person der Ausreiseverpflichtung nicht innert Frist nachgekommen ist (Art. 67 Abs. 1 Bst. b AuG). Es kann nach Art. 67 Abs. 2 AuG sodann gegen ausländische Personen erlassen werden,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3.2</w:t>
      </w:r>
    </w:p>
    <w:p>
      <w:r>
        <w:t>Die Vorinstanz stützte das Einreiseverbot auf die Art. 67 Abs. 1 Bst. a und c AuG in der Fassung vom 1. Januar 2008 (AS 2007 5457). Die letztgenannte Bestimmung, nach der ein Einreiseverbot gegenüber einer Person verhängt werden konnte, welche ausgeschafft worden war, wurde im Zuge der Gesetzesrevision gestrichen. Dies geschah mit der Begründung, es müsse fortan gestützt auf den neuen Art. 67 Abs. 1 AuG "in diesen Fällen grundsätzlich immer ein Einreiseverbot verhängt werden (BBl 2009 8896 ad Art. 67 Abs. 2 in fine). Der neue Art. 67 Abs. 1 Bst. a AuG ist demnach anwendbar, wobei aufgrund des Rückwirkungsverbots die erst nach Erlass der angefochtenen Verfügung ins Gesetz aufgenommene starke Einschränkung des Entschliessungsermessens nicht vorgenommen werden darf (vgl. BBl 2009 8896 ad Art. 67 Abs. 1 AuG). Die zuvor in Art. 67 Abs. 1 Bst. a AuG geregelte Fernhaltung wegen Gefährdung oder Verletzung der öffentlichen Sicherheit und Ordnung wurde unverändert in Abs. 2 Bst. a der neuen Norm übernommen. Diesbezüglich kann vorbehaltlos auf das neue Recht abgestellt werden.</w:t>
      </w:r>
    </w:p>
    <w:p>
      <w:r>
        <w:rPr>
          <w:b/>
        </w:rPr>
        <w:t>E. 3.3</w:t>
      </w:r>
    </w:p>
    <w:p>
      <w:r>
        <w:t>Der Bund kann ein Einreiseverbot gegenüber einer Person verfügen, die Sozialhilfekosten verursacht hat (vgl. Art. 67 Abs. 2 Bst. b AuG in der Fassung vom 1. Januar 2011 bzw. den gleich lautenden Art. 67 Abs. 1 Bst. b AuG in der Fassung vom 1. Januar 2008). Obwohl sich die Vorinstanz in der Begründung der angefochtenen Entscheidung nicht auf diese Bestimmung gestützt hat, ist der Fernhaltegrund der Sozialhilfeabhängigkeit bei der Beurteilung der Rechtmässigkeit der angefochtenen Verfügung im Rahmen der Rechtsanwendung von Amtes wegen dennoch zu beachten. Gemäss Art. 62 Abs. 4 VwVG kann das Bundesverwaltungs­gericht eine Beschwerde auch aus anderen als den geltend gemachten Gründen gutheissen oder abweisen (zur Motivsubstitution vgl. Alfred Kölz/Isabelle Häner, Verwaltungsverfahren und Verwaltungsrechtspflege des Bundes, 2. Aufl., Zürich 1998, Rz. 677).</w:t>
      </w:r>
    </w:p>
    <w:p>
      <w:r>
        <w:rPr>
          <w:b/>
        </w:rPr>
        <w:t>E. 3.4</w:t>
      </w:r>
    </w:p>
    <w:p>
      <w:r>
        <w:t>Wird gegen eine Person, die nicht das Bürgerrecht eines Mitglied­staates der Europäischen Union besitzt (Drittstaatsangehörige), ein Ein­reiseverbot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in der Regel im Schengener Informationssystem ([SIS], vgl. Art. 92 ff. SDÜ) zur Einreiseverweigerung ausgeschrieben. Diese Ausschreibung bewirkt grundsätzlich, dass der Person die Einreise in das Hoheitsgebiet der Schengen-Mitglied­staaten verboten ist (vgl. Art. 5 Abs. 1 Bst d und Art. 13 Abs. 1 der Ver­ordnung [EG] Nr. 562/2006 des Europäischen Parlaments und des Ra­tes vom 15. März 2006 über einen Gemeinschaftskodex für das Über­schreiten der Grenzen durch Personen [Schengener Grenzkodex bzw. SGK, Abl. L 105 vom 13. April 2006, S. 1-32]). Vorbehalten bleibt die Kompetenz der Mitgliedstaaten, einer solchen Person aus humanitären Gründen oder Gründen des nationalen Interesses oder aufgrund in­ternationaler Verpflichtungen die Einreise in das eigene Hoheitsgebiet zu gestatten (Art. 13 Abs. 1 i.V.m. Art. 5 Abs. 4 Bst. c SGK) bzw. ihr zu diesem Zweck ein Schengen-Visum mit räumlich beschränkter Gül­tigkeit auszustellen (Art. 25 Abs. 1 Bst. a [ii] der Verordnung [EG] Nr. 810/2009 des Europäischen Parlaments und des Rates vom 13. Juli 2009 über einen Visakodex der Gemeinschaft [Visakodex], Abl. L 243 vom 15. September 2009).</w:t>
      </w:r>
    </w:p>
    <w:p>
      <w:r>
        <w:rPr>
          <w:b/>
        </w:rPr>
        <w:t>E. 4</w:t>
      </w:r>
    </w:p>
    <w:p>
      <w:r>
        <w:t>Das in Art. 67 AuG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(Botschaft, a.a.O.,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Widerhandlungen des Ausländerrechts fallen unter diese Begriffsbestimmung und können als solche ein Einreiseverbot nach sich ziehen (vgl. BBl 2002 3813). Die Verhängung eines Einreiseverbots knüpft an das Bestehen eines Risikos einer künftigen Gefährdung an. Es ist daher gestützt auf die gesamten Umstände des Einzelfalls eine entsprechende Prognose zu stellen. Dabei ist naturgemäss in erster Linie das vergangene Verhalten der betroffenen Person zu berücksichtigen (vgl. dazu ausführlich das Urteil des Bundesverwaltungs­gerichts C 820/2009 vom 9. März 2011 E. 5 mit Hinweisen).</w:t>
      </w:r>
    </w:p>
    <w:p>
      <w:r>
        <w:rPr>
          <w:b/>
        </w:rPr>
        <w:t>E. 5.1</w:t>
      </w:r>
    </w:p>
    <w:p>
      <w:r>
        <w:t>Die Vorinstanz stützt das Einreiseverbot primär auf Art. 67 Abs. 2 Bst. a AuG (Art. 67 Abs. 1 Bst. a in der Fassung vom 1. Januar 2008). Wegen illegalen Aufenthalts trotz behördlich verfügter Wegweisung, Nötigung und Hausfriedensbruchs liege ein Verstoss wie auch eine Gefährdung der öffentlichen Sicherheit und Ordnung vor. Aus den Akten geht hervor, dass die Gemeinde O._______, nachdem das Bundesgericht den Widerruf der Niederlassungsbewilligung bestätigt hatte, dem Beschwerdeführer und seiner Ehefrau mit Schreiben vom 23. Juni 2010 eine Ausreisefrist bis zum 31. August 2010 setzte. Diese liessen die Ausreisefrist jedoch ungenutzt verstreichen und wurden in der Folge am 11. Oktober 2010 polizeilich angehalten und am gleichen Tag nach Pristina ausgeschafft. Entgegen den Behauptungen des Beschwerdeführers ist demnach klar erstellt, dass seine Ehefrau und er die Schweiz trotz behördlich verfügter Wegweisung nicht verliessen und sich vom 1. September 2010 bis zu ihrer Ausschaffung illegal in der Schweiz aufhielten. Auf diese Weise haben sie gegen die öffentliche Sicherheit und Ordnung verstossen (vgl. Art. 11 Abs. 1 i.V.m. Art. 115 Abs. 1 Bst. b AuG sowie Art. 80 Abs. 1 VZAE).</w:t>
      </w:r>
    </w:p>
    <w:p>
      <w:r>
        <w:rPr>
          <w:b/>
        </w:rPr>
        <w:t>E. 5.2</w:t>
      </w:r>
    </w:p>
    <w:p>
      <w:r>
        <w:t>In Bezug auf die Tatbestände der Nötigung und des Hausfriedens­bruchs, welche die Vorinstanz in der Begründung des Einreiseverbots ebenfalls aufführt, geht aus den Akten des Migrationsdienstes der Stadt O._______ hervor, dass der Beschwerde­führer am 25. August 2010 anlässlich einer Besprechung mit dem Leiter der Abteilung Sicherheit der Stadt O._______ ausfällig wurde. Der Beschwerdeführer schlug mehrmals auf den Tisch, trat gegen Stühle und stellte in Aussicht, das Büro nur mit der Polizei oder einem Psychiater zu verlassen. Trotz wiederholter Aufforderungen des Beamten weigerte er sich, dessen Büro zu verlassen. In der Folge wurde der Beschwerdeführer gestützt auf eine Strafanzeige des betroffenen Beamten vom Untersuchungs­richteramt U._______ mit Strafmandat vom 4. Oktober 2010 der versuchten Nötigung und des Hausfriedensbruches für schuldig befunden und mit einer bedingten Geldstrafe von 10 Tagessätzen sowie mit einer Verbindungsbusse von Fr. 200.- bestraft (vgl. Sachverhalt Bst. C). Dass das Einreise­verbot erlassen wurde, bevor dieses Strafmandat in Rechtskraft erwachsen war, ist nicht von Belang. Das Einreiseverbot knüpft grundsätzlich nicht an die Erfüllung einer Strafnorm, sondern an das Vorliegen einer Polizeigefahr an. Ob eine solche besteht und wie sie zu gewichten ist, hat die Behörde in eigener Kompetenz unter Zugrundelegung spezifisch ausländerrechtlicher Kriterien zu beurteilen. Entsprechend ist die Behörde in der Regel nicht gehalten, den rechtskräftigen Abschluss eines Strafverfahrens abzuwarten (vgl. Urteil des Bundesverwaltungsgerichts C-8544/2007 vom 15. Oktober 2009 E. 5.2). Die Schilderungen des Leiters der Abteilung Sicherheit der Stadt O._______ in der Strafanzeige vom 25. August 2010 sind glaubhaft. In der Beschwerdeschrift wird der Vorwurf der Nötigung und des Hausfriedensbruchs nicht bestritten. Es werden auch keine Erklärungen zu diesem Vorfall abgegeben. Aufgrund der vorliegenden Akten ist demnach erstellt, dass der Beschwerdeführer auch durch die Missachtung gesetzlicher Vorschriften am 25. August 2010 gegen die öffentliche Sicherheit und Ordnung verstossen hat (vgl. Art. 22 i.V.m. Art. 181 und Art. 186 des Schweizerischen Strafgesetzbuchs vom 21. Dezem­ber 1937 [StGB, SR 311.0] sowie Art. 80 Abs. 1 VZAE).</w:t>
      </w:r>
    </w:p>
    <w:p>
      <w:r>
        <w:rPr>
          <w:b/>
        </w:rPr>
        <w:t>E. 5.3</w:t>
      </w:r>
    </w:p>
    <w:p>
      <w:r>
        <w:t>Der Beschwerdeführer musste am 11. Oktober 2010 ausgeschafft werden (vgl. Sachverhalt Bst. D). Damit liegt ein weiterer Grund für die Verhängung einer Fernhaltemassnahme vor (vgl. Art. 67 Abs. 1 Bst. c AuG in der Fassung vom 1. Januar 2008 bzw. Art. 67 Abs. 1 Bst. a AuG in der Fassung vom 1. Januar 2011).</w:t>
      </w:r>
    </w:p>
    <w:p>
      <w:r>
        <w:rPr>
          <w:b/>
        </w:rPr>
        <w:t>E. 5.4</w:t>
      </w:r>
    </w:p>
    <w:p>
      <w:r>
        <w:t>Eine Fernhaltemassnahme kann sodann gegen ausländische Personen verhängt werden, welche bereits Sozialhilfekosten verursacht haben, da in diesen Fällen die Gefahr besteht, dass sie erneut auf sozialhilferechtliche Unterstützung angewiesen sein könnten (vgl. 67 Abs. 2 Bst. b AuG sowie das Urteil des Bundesverwaltungsgerichts C-4941/2008 vom 23. November 2009 E. 6.2 mit Hinweis). Dieser Fernhaltegrund ist vorliegend von Amtes wegen zu beachten (s. vorne, E. 3.3). Der Beschwerdeführer und seine Ehefrau haben gemäss den vorinstanzlichen Akten bis März 2008 Sozialhilfeleistungen im Umfang von rund Fr. 252'000.- bezogen. Das Bundesgericht hielt überdies im Urteil 2C_74/2010 fest (E. 3.4), dass sie auch zu diesem Zeitpunkt in beträchtlichem Umfang Sozialhilfe bezogen, wobei nicht ersichtlich sei, dass sich ihre prekäre Einkommenssituation demnächst verbessern werde. Es steht daher fest, dass der Beschwerdeführer erhebliche Sozialhilfekosten verursacht hat. Die Wahrscheinlichkeit ist erheblich, dass er im Falle einer Wiedereinreise wiederum von der Sozialhilfe unterstützt werden müsste. Damit liegt ein weiterer, alternativer Fernhaltegrund vor.</w:t>
      </w:r>
    </w:p>
    <w:p>
      <w:r>
        <w:rPr>
          <w:b/>
        </w:rPr>
        <w:t>E. 5.5</w:t>
      </w:r>
    </w:p>
    <w:p>
      <w:r>
        <w:t>In Bezug auf die Einwendungen des Beschwerdeführers ist festzuhalten, dass die gesetzten Fernhaltegründe allesamt aktenmässig klar erstellt sind. Die Behauptungen, die Ausreise sei freiwillig erfolgt und der Beschwerdeführer und seine Ehefrau verfügten nach wie vor über eine Niederlassungs- bzw. Aufenthaltsbewilligung, sind unzutreffend. Die entsprechenden Bewilligungen wurden bereits vor geraumer Zeit wegen Sozialhilfeabhängigkeit widerrufen bzw. nicht erneuert, was das Bundesgericht am 10. Juni 2010 in letzter Instanz bestätigte. Der Gemeinderat der Stadt O._______ teilte dies dem Beschwerdeführer auf dessen Anfrage hin mit Schreiben vom 19. August 2010 noch einmal schriftlich mit und wies ihn dabei ausdrücklich darauf hin, dass das Nichteinhalten der am 31. August 2010 endenden Ausreisefrist die Ausschaffung zur Folge haben werde. Keinen anderen Bescheid konnte dem Beschwerdeführer der Leiter der Abteilung Sicherheit der Stadt O._______ an der Besprechung vom 25. August 2010 geben (s. vorne, E. 5.2).</w:t>
      </w:r>
    </w:p>
    <w:p>
      <w:r>
        <w:rPr>
          <w:b/>
        </w:rPr>
        <w:t>E. 5.6</w:t>
      </w:r>
    </w:p>
    <w:p>
      <w:r>
        <w:t>Zusammenfassend ist festzuhalten, dass mehrere hinreichende Gründe für die Verhängung einer Fernhaltemassnahme vorliegen.</w:t>
      </w:r>
    </w:p>
    <w:p>
      <w:r>
        <w:rPr>
          <w:b/>
        </w:rPr>
        <w:t>E. 6.1</w:t>
      </w:r>
    </w:p>
    <w:p>
      <w:r>
        <w:t>Zu prüfen bleibt,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Aufl., Zürich/Basel/Genf 2010, Rz. 613 ff.).</w:t>
      </w:r>
    </w:p>
    <w:p>
      <w:r>
        <w:rPr>
          <w:b/>
        </w:rPr>
        <w:t>E. 6.2</w:t>
      </w:r>
    </w:p>
    <w:p>
      <w:r>
        <w:t>Der Beschwerdeführer hat die Schweiz trotz behördlich verfügter Wegweisung nicht verlassen, sich mithin illegal im Land aufgehalten und musste ausgeschafft werden. Zudem ist er straffällig geworden (s. vorne, E. 5.2). Aus dem manifestierten Verhalten des Beschwerdeführers ist auf eine Gefährdung der öffentlichen Ordnung zu schliessen. Das Einreiseverbot hat in erster Linie präventiven Charakter, um einem künftigen illegalen Aufenthalt und weiteren Störungen der öffentlichen Ordnung entgegenzuwirken. Namentlich den ausländerrechtlichen Normen kommt im Interesse einer funktionierenden Rechtsordnung eine zentrale Bedeutung zu. Das generalpräventiv motivierte Interesse, die ausländerrechtliche Ordnung durch eine konsequente Massnahmenpraxis zu schützen, ist als gewichtig zu betrachten. Überdies liegt eine spezialpräventive Zielsetzung der Massnahme darin, dass sie den Betroffenen ermahnt, bei einer allfälligen künftigen Wiedereinreise in die Schweiz nach Ablauf der Dauer des Einreiseverbots die für ihn geltenden Regeln einzuhalten (vgl. Urteil des Bundesverwaltungsgerichts C 2771/2010 vom 3. Februar 2012 E. 6.1). Die Vorinstanz war demnach berechtigt, zur Abwendung künftiger Störungen ein Einreiseverbot zu verhängen. Hinzu kommt, dass der Beschwerdeführer während seinem Aufenthalt in der Schweiz in erheblicher Höhe Sozialhilfekosten verursacht hat. Dies lässt befürchten, dass er im Falle einer Wiedereinreise erneut von der Sozialhilfe unterstützt werden müsste. Nach dem Gesagten besteht ein gewichtiges öffentliches Interesse an der befristeten Fernhaltung des Beschwerdeführers.</w:t>
      </w:r>
    </w:p>
    <w:p>
      <w:r>
        <w:rPr>
          <w:b/>
        </w:rPr>
        <w:t>E. 6.3</w:t>
      </w:r>
    </w:p>
    <w:p>
      <w:r>
        <w:t>Der Beschwerdeführer bringt als persönliches Interesse vor, er wolle seine Arbeit in einem Restaurant fortsetzen. Zudem sei er in ärztlicher Behandlung und es sei ein IV-Verfahren hängig. Laut einem ärztlichen Bericht müsse er in der Schweiz bleiben, weil er im Kosovo nicht inte­griert werden könne. In Bezug auf die Arbeit ist darauf hinzuweisen, dass ein mit Erwerbstätigkeit verbundener Aufenthalt in der Schweiz bewilligungspflichtig ist (Art. 11 AuG). Diese Bewilligung wurde jedoch widerrufen, was das Bundesgericht im Jahr 2010 in letzter Instanz bestätigt hat (vgl. Sachverhalt Bst. B). Eine allfällige neuerliche Bewilligung ist nicht Gegenstand dieses Verfahrens, welches einzig das von der Vorinstanz verhängte Einreiseverbot betrifft. Die Erteilung von Aufenthaltsbewilligungen fällt grundsätzlich in die Zuständigkeit der Kantone, wobei im Falle einer Bewilligungserteilung auch das bestehende Einreiseverbot aufzuheben wäre (vgl. das Urteil des Bundesverwaltungsgerichts C-4941/2008 E. 7.3 mit Hinweis). Ob derzeit wie behauptet noch ein IV Verfahren rechtshängig ist, kann sodann offen bleiben, zumal ein dauerhafter persönlicher Aufenthalt des Beschwerdeführers in der Schweiz deswegen nicht erforderlich ist. Der Beschwerdeführer kann sich im Verfahren vertreten lassen oder ein Zustellungsdomizil in der Schweiz bezeichnen (vgl. Art. 37 und Art. 55 des Bundesgesetzes vom 6. Oktober 2000 über den Allgemeinen Teil des Sozialversicherungsrechts [ATSG, SR 830.1] sowie Art. 11b VwVG). Sollte der Beschwerdeführer für einzelne Verfahrenshandlungen (z.B. für medizinische Abklärungen) oder für besondere ärztliche Behandlungen zwingend in die Schweiz reisen müssen, steht ihm die Möglichkeit offen, aus wichtigen Gründen die zeitweilige Suspension der angeordneten Fernhaltemassnahme zu beantragen (Art. 67 Abs. 5 AuG). Dies gilt ebenso für allfällige Besuche bei seinem erwachsenen Sohn, der in der Schweiz lebt und im Kanton Bern über eine Niederlassungsbewilligung verfügt. Eine Suspension des Einreiseverbots wird jedoch praxisgemäss nur für eine kurze und klar begrenzte Zeit gewährt (vgl. das Urteil des Bundesverwaltungsgerichts C-3304/2009 vom 18. Januar 2012 E. 7.2 in fine mit Hinweis und Urteil C-5426/2009 vom 5. Mai 2010 E. 5). Die Vorbringen des Beschwerdeführers rechtfertigen es mithin nicht, von einem Einreiseverbot abzusehen. Das dargelegte öffentliche Interesse fällt hingegen stark ins Gewicht. Eine wertende Gewichtung der sich entgegenstehenden Interessen führt zum Ergebnis, dass das auf fünf Jahre befristete Einreiseverbot sowohl vom Grundsatz her als auch in Bezug auf seine Dauer eine verhältnismässige und angemessene Massnahme zum Schutz der öffentlichen Sicherheit und Ordnung darstellt.</w:t>
      </w:r>
    </w:p>
    <w:p>
      <w:r>
        <w:rPr>
          <w:b/>
        </w:rPr>
        <w:t>E. 7</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8</w:t>
      </w:r>
    </w:p>
    <w:p>
      <w:r>
        <w:t>Dem Ausgang des Verfahrens entsprechend wird der unterliegende Beschwerdeführer kostenpflichtig (Art. 63 Abs. 1 VwVG). Die Verfahrenskosten sind auf Fr. 700.- festzusetzen (Art. 1, Art. 2 und Art. 3 Bst. b des Reglements vom 21. Februar 2008 über die Kosten und Entschädigungen vor dem Bundesverwaltungsgericht [VGKE, SR 173.320.2]).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