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C-748/2012 vom 15. November 2013</w:t>
      </w:r>
    </w:p>
    <w:p>
      <w:r>
        <w:t>Bundesverwaltungsgericht, 2013-11-15, FR</w:t>
      </w:r>
    </w:p>
    <w:p>
      <w:r>
        <w:rPr>
          <w:b/>
        </w:rPr>
        <w:t xml:space="preserve">Quelle: </w:t>
      </w:r>
      <w:r>
        <w:t>https://mcp.opencaselaw.ch/entscheid/bvger_C-748_2012</w:t>
      </w:r>
    </w:p>
    <w:p>
      <w:r>
        <w:t>FR: TAF C-748/2012 du 15 novembre 2013</w:t>
      </w:r>
    </w:p>
    <w:p>
      <w:r>
        <w:t>IT: TAF C-748/2012 del 15 novembre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et l'avance de frais de procédure requise ayant été effectuée, le recours est recevable.</w:t>
      </w:r>
    </w:p>
    <w:p>
      <w:r>
        <w:rPr>
          <w:b/>
        </w:rPr>
        <w:t>E. 2</w:t>
      </w:r>
    </w:p>
    <w:p>
      <w:r>
        <w:t>L'objet de la décision attaquée du 5 janvier 2012 concerne le bien-fondé de la suppression de la rente entière d'invalidité - dont bénéficiait le recourant depuis le 1er août 2008 - rétroactivement au 1er février 2011, au motif d'une amélioration de l'état de santé et d'une reprise d'activité lucrative au 1er juillet 2010.</w:t>
      </w:r>
    </w:p>
    <w:p>
      <w:r>
        <w:rPr>
          <w:b/>
        </w:rPr>
        <w:t>E. 3.1</w:t>
      </w:r>
    </w:p>
    <w:p>
      <w:r>
        <w:t>Le droit applicable est déterminé par les règles en vigueur au moment où les faits juridiquement déterminants se sont produits (ATF 131 V 9 consid. 1, ATF 130 V 445 consid. 1.2 et les références), le juge n'ayant pas à prendre en considération les modifications du droit ou de l'état de fait postérieures à la date déterminante de la décision litigieuse (ATF 129 V 4 consid. 1.2). En cas de certificats et rapports médicaux établis et produits après la décision attaquée, ceux-ci ne sont pris en compte que dans la mesure où ils permettent de mieux comprendre et clarifier l'état de santé de l'intéressé jusqu'à la décision dont est recours.</w:t>
      </w:r>
    </w:p>
    <w:p>
      <w:r>
        <w:rPr>
          <w:b/>
        </w:rPr>
        <w:t>E. 3.2</w:t>
      </w:r>
    </w:p>
    <w:p>
      <w:r>
        <w:t>Les modifications consécutives à la 6ème révision de la LAI, entrées en vigueur le 1er janvier 2012, trouvent application, étant précisé que les nouvelles normes n'ont pas apporté de changements par rapport à l'ancien droit quant à l'évaluation de l'invalidité dont il convient de procéder in casu.</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Aux termes de l'art. 28 al. 1 LAI, l'assuré a droit à un quart de rente s'il est invalide à 40% au moins, à une demi-rente s'il est invalide à 50% au moins, à trois quarts de rente s'il est invalide à 60% au moins et à une rente entière s'il est invalide à 70% au moins. Toutefois, les rentes correspondant à un taux d'invalidité inférieur à 50% ne sont versées qu'aux assurés qui ont leur domicile et leur résidence habituelle en Suisse (art. 28 al.1ter LAI) sous réserve depuis le 1er juin 2002 de l'incidence de l'application du droit communautaire permettant le versement aux ressortissants suisses et des Etats membres de l'UE des quarts de rentes en cas de résidence dans un Etat membre de l'UE.</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La réglementation sur la révision ne saurait en effet constituer un fondement juridique à un réexamen sans condition du droit à la rente (arrêt du Tribunal fédéral I 8/04 du 12 octobre 2005 consid. 2.1; Michel Valterio, Droit de l'assurance-vieillesse et survivants (AVS) et de l'assurance-invalidité (AI), Zurich 2011, n° 3054 ss, 3065).</w:t>
      </w:r>
    </w:p>
    <w:p>
      <w:r>
        <w:rPr>
          <w:b/>
        </w:rPr>
        <w:t>E. 5.2</w:t>
      </w:r>
    </w:p>
    <w:p>
      <w:r>
        <w:t>Selon une jurisprudence constante, une amélioration de la capacité de travail attestée médicalement conduit en principe, eu égard au devoir de se réadapter par soi-même, à une amélioration correspondante de la capacité de gain. Une appréciation contraire ne peut s'ensuivre qu'à titre exceptionnel, c'est-à-dire lorsque, nonobstant les conclusions médicales, il appert du dossier que l'assuré ne pourra pas surmonter par lui-même et sans l'application de mesures préalables ses empêchements compte tenu de la longue durée du versement de la rente et des exigences du marché du travail (arrêt du Tribunal fédéral 9C_163/2009 du 10 septembre 2010 consid. 4). Comme l'a jugé le Tribunal fédéral, on ne saurait ainsi notamment supprimer une rente sans avoir au préalable examiné les possibilités de réadaptation dans le cas d'un assuré qui a touché cette rente durant de très nombreuses années et qui ne dispose plus de l'expérience professionnelle lui permettant de se réadapter par lui-même (arrêt du Tribunal fédéral 9C_768/2009 du 10 septembre 2010 consid. 4). Il en va différemment si la durée de l'octroi de la rente a été relativement courte et si des mesures de réadaptation ne s'imposent pas au regard de l'activité exercée par l'assuré ou qu'il pourrait exercer (arrêt du Tribunal fédéral 9C_950/2009 du 25 septembre 2010 consid. 4; Valterio, op. cit., n° 3060).</w:t>
      </w:r>
    </w:p>
    <w:p>
      <w:r>
        <w:rPr>
          <w:b/>
        </w:rPr>
        <w:t>E. 5.3</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Valterio, op. cit., n° 3063).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5.5.1</w:t>
      </w:r>
    </w:p>
    <w:p>
      <w:r>
        <w:t>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ATF 125 V 369 consid. 2 et ATF 112 V 372 consid. 2).</w:t>
      </w:r>
    </w:p>
    <w:p>
      <w:r>
        <w:rPr>
          <w:b/>
        </w:rPr>
        <w:t>E. 5.5.2</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(cf. l'arrêt du Tribunal fédéral I 569/06 du 20 novembre 2006 consid. 3.3; Valterio, op. cit., n° 3085).</w:t>
      </w:r>
    </w:p>
    <w:p>
      <w:r>
        <w:rPr>
          <w:b/>
        </w:rPr>
        <w:t>E. 5.5.3</w:t>
      </w:r>
    </w:p>
    <w:p>
      <w:r>
        <w:t>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 Toutefois, en application de l'art. 88bis al. 2 let. b RAI, la diminution ou la suppression de la rente, de l'allocation pour impotent ou de la contribution d'assistance prend effet rétroactivement à la date où elle a cessé, s'il se l'est fait attribuer irrégulièrement ou s'il a manqué, à un moment donné, à l'obligation de renseigner qui lui incombe raisonnablement selon l'art. 77 RAI. Selon cette disposition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Cette obligation d'avis obligatoire figure sur les décisions d'octroi de rente, telle a été le cas de la décision du 14 novembre 2008 d'octroi de rente (cf. pce 45).</w:t>
      </w:r>
    </w:p>
    <w:p>
      <w:r>
        <w:rPr>
          <w:b/>
        </w:rPr>
        <w:t>E. 5.5.4</w:t>
      </w:r>
    </w:p>
    <w:p>
      <w:r>
        <w:t>En application des art. 55 al. 1 LPGA et 56 PA l'administration peut prendre toutes mesures provisionnelles d'office pour sauvegarder ses intérêts. Une suspension de rente à titre de mesure provisionnelle peut avoir lieu lorsqu'un office AI apprend de quelque manière que son octroi n'est plus justifié. Si par la suite la procédure de révision indique que la rente ne devait pas être suspendue, elle doit être versée, intérêts compris (cf. arrêt du Tribunal fédéral 9C_867/2012 du 17 avril 2013 consid. 2 avec les réf.; Valterio, op. cit., n° 3061). In casu, c'est à juste titre que l'intéressé, reconnu invalide à 100%, ayant à l'occasion de la révision du droit à la rente communiqué dans un acte du 12 janvier 2011 une reprise de travail à raison de 2h./j. depuis le 1er juillet 2010, a fait l'objet d'une suspension de rente avec effet immédiat au 1er février 2011, jusqu'à droit connu sur la révision, au motif d'une violation de son devoir d'avis. La décision du 25 février 2011 suspendant la rente est entrée en force.</w:t>
      </w:r>
    </w:p>
    <w:p>
      <w:r>
        <w:rPr>
          <w:b/>
        </w:rPr>
        <w:t>E. 6.1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w:t>
      </w:r>
    </w:p>
    <w:p>
      <w:r>
        <w:rPr>
          <w:b/>
        </w:rPr>
        <w:t>E. 6.2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Les services médicaux régionaux de l'AI, cas échéant le service médical de l'OAIE, évaluent les conditions médicales du droit aux prestations. Ils sont libres dans le choix de la méthode d'examen appropriée, dans le cadre de leurs compétences médicales et des directives spécialisées de portée générale de l'office fédéral (art. 49 al. 1 RAI). La valeur probante d'une prise de position du service médical de l'OAIE n'est pas altérée du simple fait que le médecin de l'office AI n'a pas examiné personnellement l'assuré; l'art. 49 al. 2 RAI énonce expressément que les services médicaux procèdent au besoin eux-mêmes à des examens médicaux sur la personne des assurés (arrêt du Tribunal fédéral 9C_323/2009 consid. 4.3.1 et les réf.), ce qui signifie que l'examen s'effectue de base sur dossier et compte tenu de la documentation jugée complète par le service médical.</w:t>
      </w:r>
    </w:p>
    <w:p>
      <w:r>
        <w:rPr>
          <w:b/>
        </w:rPr>
        <w:t>E. 7.2</w:t>
      </w:r>
    </w:p>
    <w:p>
      <w:r>
        <w:t>Bien que les rapports d'examen réalisés par un SMR en vertu de l'art. 49 al. 2 RAI ne soient pas des expertises au sens de l'art. 44 LPGA et ne soient pas soumis aux mêmes exigences formelles (ATF 135 V 254 consid. 3.4), ils peuvent néanmoins revêtir la même valeur probante que des expertises, dans la mesure où ils satisfont aux exigences définies par la jurisprudence en matière d'expertise médicale (consid. 3.3.2 non publié de l'ATF 135 V 254 et les références). Même en tenant compte de la jurisprudence récente de la Cour européenne des droits de l'homme sur le principe de l'égalité des armes, tiré du droit à un procès équitable garanti par l'art. 6 § 1 CEDH, il n'existe pas, dans la procédure d'octroi ou de refus de prestations d'assurances sociales, de droit formel à une expertise menée par un médecin externe à l'assurance (ATF 135 V 465 consid. 4.3). Il convient toutefois d'ordonner une telle expertise si des doutes, même faibles, subsistent quant à la fiabilité et à la pertinence des constatations médicales effectuées par le service médical interne de l'assurance (ATF 135 V 465 consid. 4.6; arrêt du Tribunal fédéral 9C_159/2013 consid. 4.1 du 22 juillet 2013; Valterio, op. cit., n° 2891). Il ne faut cependant recourir à une expertise que si des moyens plus simples et économiques ne suffisent pas à se prononcer (rapports médicaux, renseignements), ou encore en présence de controverses médicales sur le cas concret (Stéphane Blanc, La procédure administrative en assurance-invalidité, Fribourg, 1999, p. 142). L'administration peut procéder à une appréciation anticipée des preuves pour juger de la non nécessité d'une expertise médicale si le dossier est complet (cf. ATF 135 V 2 consid. 1.3).</w:t>
      </w:r>
    </w:p>
    <w:p>
      <w:r>
        <w:rPr>
          <w:b/>
        </w:rPr>
        <w:t>E. 7.3</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7.4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Tribunal fédéral 8C_558/2008 du 17 mars 2009 consid. 2.4.2). Toutefois le simple fait qu'un rapport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ATF 123 V 175 consid. 3d, ATF 125 V 351 consid. 3b ee; cf. aussi les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8.1</w:t>
      </w:r>
    </w:p>
    <w:p>
      <w:r>
        <w:t>Dans le cadre de l'octroi de la rente, par décision du 14 novembre 2008, le Dr C._______ du SMR retint dans son rapport du 11 juin 2008 une polyarthrose sévère avec destruction coxofémorale à gauche et atteinte des genoux, des épaules et des chevilles, ainsi que la pathologie associée du ressort de l'AI de cervico-lombalgies sur troubles dégénératifs, atteintes permettant une capacité de travail dans les activités habituelles et adaptées de 30% depuis janvier 2007 et de 0% depuis le 25 avril 2008 [date d'hospitalisation; cf. pce 24 ch. 1.3]. Le Dr C._______ nota des limitations fonctionnelles pour toutes les activités physiques et les travaux nécessitant des déplacements autres que sur de courtes distances et occasionnels. Il y a lieu de souligner, d'une part, qu'il précisa un status non stabilisé et la nécessité d'un réexamen dans une année, et d'autre part, qu'il indiqua que l'assuré avait la formation et l'expérience professionnelle pour faire valoir sa capacité de travail résiduelle au mieux en tant que journaliste indépendant, ce qui incluait dans tous les cas l'activité de rédacteur publicitaire à domicile sans déplacement par des travaux sur ordinateur. Le rapport du Dr C._______ du 11 juin 2008 a été antérieur à la prothèse totale de la hanche gauche et du genou gauche des 25 et 31 juillet 2008, à la prothèse totale du genou droit du 20 novembre 2008 et à l'arthroscopie du 3 mars 2010. Dans son rapport le Dr C._______ ne fit pas état d'arthrose au niveau des mains évoquée par la Dresse B._______ dans son rapport du 15 avril 2008. Il sied de relever, à titre indicatif, que dans un rapport du 24 avril 2008, indiquant une dernière consultation le 29 janvier 2007, le Prof. K._______, chef de service de rhumatologie au CHUV, fit état de la polyarthrose de l'intéressé (genoux, épaules, hanches) sans mention des mains (cf. pce 25). Compte tenu du fait que l'intéressé allait subir plusieurs interventions chirurgicales, le projet d'acceptation de rente du 10 juillet 2008 à la base de la décision d'octroi de rente du 14 novembre 2008 était justifié mais la révision du droit à la rente qui devait s'ensuivre d'un nouvel examen médical dans l'année suivant la prise de position du Dr C._______ n'a pas eu lieu.</w:t>
      </w:r>
    </w:p>
    <w:p>
      <w:r>
        <w:rPr>
          <w:b/>
        </w:rPr>
        <w:t>E. 8.2</w:t>
      </w:r>
    </w:p>
    <w:p>
      <w:r>
        <w:t>Dans le cadre de la révision du droit à la rente initiée par l'OAIE le 5 janvier 2010, l'assuré produisit de par sa démarche personnelle, en ayant requis lui-même un rapport médical auprès d'un médecin spécialiste de son choix, le rapport du Dr D._______, daté du 17 septembre 2010. Ce rapport est postérieur à celui du Dr C._______ de quelque une année et demie après toutes les opérations des genoux et de la hanche gauche. Il est également postérieur de 5 mois à l'infarctus du myocarde aigu dont a été victime l'assuré le 12 avril 2010. Enfin il y a lieu de relever qu'il est postérieur au certificat médical de la Dresse B._______ du 10 mai 2010, n'indiquant pas la date de sa dernière consultation, produit par l'assuré avec son recours le 9 février 2012. Dans ce rapport le Dr D._______ note une bonne amplitude de mouvement sans limitation fonctionnelle de la colonne, des épaules présentant des pincements articulaires bilatéraux, une amplitude normale des coudes, une amplitude normale de mouvement des poignets et des doigts des deux mains, une limitation supérieure médiane de l'articulation coxofemorale droite avec signe d'arthrose, une prothèse de la hanche à gauche, une articulation des genoux avec prothèses sans signe de blocage, une articulation des chevilles limitée en raison d'arthrose bilatérale, concluant à une polyarthrose idiopathique généralisée affectant de multiples articulations entraînant des limitations fonctionnelles et restrictions pour des activités qui nécessitent des efforts soutenus ou des activités qui nécessitent des efforts répétés, entraînant des douleurs et atteintes dégénératives et progressives chez un patient relativement jeune. Le rapport en question ne se prononce pas précisément sur la capacité de travail de l'assuré si ce n'est qu'il indique clairement que celui-ci ne peut effectuer des travaux nécessitant des efforts répétés. A sa lecture, et de l'interprétation qui en découle objectivement, le rapport exprime la possibilité d'une activité douce sédentaire entièrement compatible avec une activité de nature essentiellement intellectuelle, telle celle d'un rédacteur publicitaire. La vitesse de frappe n'est en effet pas déterminante dans le cadre d'un tel travail. S'il est patent qu'un rédacteur publicitaire peut être contraint de travailler à brève échéance, les atteintes à la santé de l'intéressé ne sont pas de nature à l'empêcher d'offrir ses services en temps utile. Par ailleurs, rien au dossier ne permet d'envisager que l'intéressé n'a pas été dans cette constellation depuis le 1er juillet 2010, bien que non sans douleurs, date indiquée lui-même dans le questionnaire à l'assuré pour la révision de la rente daté du 12 janvier 2011.</w:t>
      </w:r>
    </w:p>
    <w:p>
      <w:r>
        <w:rPr>
          <w:b/>
        </w:rPr>
        <w:t>E. 8.3</w:t>
      </w:r>
    </w:p>
    <w:p>
      <w:r>
        <w:t>Dans sa prise de position du 10 mars 2011 le Dr E._______ releva, outre le statut orthopédique évoqué ci-dessus qu'il confirma, un status post infarctus aigu du myocarde en avril 2010 satisfaisant. Il indiqua qu'aucun document ne faisait état d'un angor résiduel ou d'une autre symptomatologie résiduelle. Il indiqua une incapacité de travail sur le plan cardiaque d'avril à fin mai 2010 et un status sans interférence pour la suite dans une activité adaptée aux problèmes orthopédiques. Pour le Dr E._______, la capacité de travail de l'intéressé a été totale depuis le 20 mars 2009 hormis la période d'avril à mai 2010. Le bon status cardiaque de l'assuré a d'ailleurs été confirmé par la documentation médicale établie en avril 2011. Dans une prise de position du 16 août 2011, à la suite de l'appréciation personnelle de l'intéressé sur sa capacité de travail du 18 mai 2011, le Dr E._______ indiqua qu'aucun médecin n'avait signalé d'arthrose ou une pathologie significative au niveau des mains et qu'une crispation des mains ne s'expliquait pas sur le plan somatique ni des douleurs remontant le long du membre supérieur jusqu' à la nuque. Cette affirmation n'est pas exacte en ce sens que la Dresse B._______ avait évoqué dans son rapport du 15 avril 2008 au niveau des deux mains une arthrose trapézoscaphoïdienne et une atteinte trapézométacarpienne prédominante à gauche mais de degré encore moindre. Ce diagnostic n'a cependant pas été établi par le Prof. L._______ dans un rapport du 24 avril 2008. Dans son rapport du 17 décembre 2010 le Dr D._______ n'a pas fait état d'arthrose des mains et il n'apparait pas au dossier une prise en charge spécifique pour l'arthrose des mains depuis le rapport du Dr D._______ jusqu'à la décision du 5 janvier 2012.</w:t>
      </w:r>
    </w:p>
    <w:p>
      <w:r>
        <w:rPr>
          <w:b/>
        </w:rPr>
        <w:t>E. 8.4</w:t>
      </w:r>
    </w:p>
    <w:p>
      <w:r>
        <w:t>Dans les nouveaux rapports médicaux établis après la décision dont est recours, qui ne peuvent être pris en considération que dans la mesure où ils éclaircissent un état de santé antérieur (cf. consid. 3.1 ci-dessus), il n'apparaît pas d'élément, comme l'a indiqué le Dr E._______ dans ses rapports du 31 mars et du 17 décembre 2012, permettant de mettre en doute l'appréciation du service médical de l'OAIE selon lequel l'intéressé pourrait exercer son activité de rédacteur publicitaire si ce n'est à 100% au moins à un taux proche. L'intéressé invoque certes de la fatigue et des douleurs mais dans le cadre de son activité la fatigue et les douleurs invoquées ne peuvent être tenues comme propres à restreindre la capacité de travail de l'intéressé dans une mesure déterminante selon la LAI. S'agissant des derniers documents médicaux fournis, dont notamment ceux du Dr J._______ non datés préconisant de cesser toute activité professionnelle, il y a lieu de relever que, établis apparemment largement après la date de la décision attaquée, ils ne peuvent être pris en compte dans le cadre de la présente révision.</w:t>
      </w:r>
    </w:p>
    <w:p>
      <w:r>
        <w:rPr>
          <w:b/>
        </w:rPr>
        <w:t>E. 8.5</w:t>
      </w:r>
    </w:p>
    <w:p>
      <w:r>
        <w:t>Il s'ensuit de ce qui précède qu'il doit être retenu une amélioration de l'état de santé de l'assuré entre la date d'octroi de la rente, le 14 novembre 2008, selon le projet d'acceptation du 10 juillet 2008, et la date de la décision attaquée du 5 janvier 2012, en ce sens que l'intéressé s'étant remis de ses opérations de l'année 2008 a pu reprendre à plein temps une activité de type sédentaire intellectuelle au plus tard le 20 mars 2009 avec une interruption d'avril à mai 2010 en raison d'un infarctus du myocarde.</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l'Enquête suisse sur la structure des salaires.</w:t>
      </w:r>
    </w:p>
    <w:p>
      <w:r>
        <w:rPr>
          <w:b/>
        </w:rPr>
        <w:t>E. 9.2</w:t>
      </w:r>
    </w:p>
    <w:p>
      <w:r>
        <w:t>En l'espèce il n'y a pas lieu de procéder à une comparaison car l'intéressé peut exercer son activité antérieure de rédacteur publicitaire de toute manière à un pourcentage excluant le versement d'une rente. La rente peut être supprimée avec effet au 1er février 2011 en application de l'art. 88bis al. 2 let. b RAI. Vu ce qui précède le recours doit être rejeté et la décision entreprise confirmée.</w:t>
      </w:r>
    </w:p>
    <w:p>
      <w:r>
        <w:rPr>
          <w:b/>
        </w:rPr>
        <w:t>E. 9.3</w:t>
      </w:r>
    </w:p>
    <w:p>
      <w:r>
        <w:t>Dans le cadre de cette révision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10.1</w:t>
      </w:r>
    </w:p>
    <w:p>
      <w:r>
        <w:t>Vu l'issue de la procédure, les frais de celle-ci, fixés à 400 francs, sont mis à la charge du recourant (art. 63 al. 1 PA, applicable par le truchement de l'art. 37 LTAF). Ils sont compensés par l'avance de frais du même montant dont il s'est acquitté au cours de l'instruction.</w:t>
      </w:r>
    </w:p>
    <w:p>
      <w:r>
        <w:rPr>
          <w:b/>
        </w:rPr>
        <w:t>E. 10.2</w:t>
      </w:r>
    </w:p>
    <w:p>
      <w:r>
        <w:t>Il n'est pas alloué de dépens (art. 7 al. 1 a contrario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