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C-7487/2008 vom 4. Januar 2013</w:t>
      </w:r>
    </w:p>
    <w:p>
      <w:r>
        <w:t>Bundesverwaltungsgericht, 2013-01-04, DE</w:t>
      </w:r>
    </w:p>
    <w:p>
      <w:r>
        <w:rPr>
          <w:b/>
        </w:rPr>
        <w:t xml:space="preserve">Quelle: </w:t>
      </w:r>
      <w:r>
        <w:t>https://mcp.opencaselaw.ch/entscheid/bvger_C-7487_2008</w:t>
      </w:r>
    </w:p>
    <w:p>
      <w:r>
        <w:t>FR: TAF C-7487/2008 du 4 janvier 2013</w:t>
      </w:r>
    </w:p>
    <w:p>
      <w:r>
        <w:t>IT: TAF C-7487/2008 del 4 gennaio 2013</w:t>
      </w:r>
    </w:p>
    <w:p>
      <w:pPr>
        <w:pStyle w:val="Heading2"/>
      </w:pPr>
      <w:r>
        <w:t>Regeste</w:t>
      </w:r>
    </w:p>
    <w:p>
      <w:r>
        <w:t>Sonderabgabepflicht</w:t>
      </w:r>
    </w:p>
    <w:p>
      <w:pPr>
        <w:pStyle w:val="Heading2"/>
      </w:pPr>
      <w:r>
        <w:t>Erwägungen</w:t>
      </w:r>
    </w:p>
    <w:p>
      <w:r>
        <w:rPr>
          <w:b/>
        </w:rPr>
        <w:t>E. 1.1</w:t>
      </w:r>
    </w:p>
    <w:p>
      <w:r>
        <w:t>Verfügungen des BFM auf dem Gebiet des Asyl- und Ausländer­rechts unterliegen der Beschwerde an das Bundesverwaltungsgericht (Art. 31, Art. 32 und Art. 33 Bst. d des Verwaltungsgerichtsgesetzes vom 17. Juni 2005 [VGG, SR 173.32]).</w:t>
      </w:r>
    </w:p>
    <w:p>
      <w:r>
        <w:rPr>
          <w:b/>
        </w:rPr>
        <w:t>E. 1.2</w:t>
      </w:r>
    </w:p>
    <w:p>
      <w:r>
        <w:t>Das Verfahren vor dem Bundesverwaltungsgericht richtet sich nach dem Bundesgesetz vom 20. Dezember 1968 über das Verwaltungsverfah­ren (VwVG, SR 172.021), soweit das Verwaltungsge­richtsgesetz nichts anderes bestimmt (Art. 37 VGG).</w:t>
      </w:r>
    </w:p>
    <w:p>
      <w:r>
        <w:rPr>
          <w:b/>
        </w:rPr>
        <w:t>E. 1.3</w:t>
      </w:r>
    </w:p>
    <w:p>
      <w:r>
        <w:t>Der Beschwerdeführer ist als Verfügungsadressat zur Beschwerde legitimiert (Art. 48 Abs. 1 VwVG). Auf seine im Übrigen frist- und formge­recht eingereichten Beschwerde ist daher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S. 4 mit Hinweisen).</w:t>
      </w:r>
    </w:p>
    <w:p>
      <w:r>
        <w:rPr>
          <w:b/>
        </w:rPr>
        <w:t>E. 3.1</w:t>
      </w:r>
    </w:p>
    <w:p>
      <w:r>
        <w:t>Am 1. Januar 2008 trat das zweite Paket der Asylgesetzrevision vom 16. Dezember 2005 in Kraft, mit dem durch entsprechende Änderungen des Asylgesetzes, des auf denselben Zeitpunkt in Kraft gesetzten Bundesgesetzes vom 16. Dezember 2005 über die Ausländerinnen und Ausländer (AuG, SR 142.20) und der Asylverordnung 2 ein Systemwechsel von der individuellen Sicherheitsleistungs- und Rückerstattungspflicht (nachfolgend: SiRück) mit der ihr eigenen Abrechnung über dem Pflichtigen individuell zurechenbare Kosten zur voraussetzungslos geschuldeten Sonderabgabe vollzogen wurde (vgl. zum Ganzen: Grundsatzurteil des Bundesverwaltungsgerichts C 7179/2008 vom 21. Dezember 2010 E. 4). Die vorliegende Streitsache betrifft die Überführung eines unter der Herrschaft des alten Rechts begründeten SiRück-Verhältnisses in das neue Recht.</w:t>
      </w:r>
    </w:p>
    <w:p>
      <w:r>
        <w:rPr>
          <w:b/>
        </w:rPr>
        <w:t>E. 3.2</w:t>
      </w:r>
    </w:p>
    <w:p>
      <w:r>
        <w:t>Mit der angefochtenen Verfügung rechnete die Vorinstanz über das Sicherheitskonto des Beschwerdeführers in Anwendung der Übergangsbestimmungen zur Änderung vom 16. Dezember 2005 des Asylgesetzes (nachfolgend: Übergangsbestimmungen AsylG) und zur am 24. Oktober 2007 beschlossenen Änderung der Asylverordnung 2 (nachfolgend: Übergangsbestimmungen AsylV 2) ab. Diese übergangsrechtliche Ordnung sieht die Unterstellung laufender SiRück-Verhältnisse unter das neue Recht vor, wenn vor dem Inkrafttreten des neuen Rechts am 1. Januar 2008 kein Schlussabrechnungsgrund im Sinne von Artikel 87 des Asylgesetzes in der Fassung vom 26. Juni 1998 (AS 1999 2262; nachfolgend: AsylG [1998]) eingetreten ist (Abs. 1 und 2 Übergangsbestimmungen AsylG). Dabei gilt, dass altrechtliche Sicherheiten und Rückerstattungen aus der Zwischenabrechnung nach Artikel 16 AsylV 2 in der Fassung vom 11. August 1999 (nachfolgend: AsylV 2 [1999]) in vollem Umfang an die neurechtliche Sonderabgabepflicht angerechnet werden (Abs. 2 Übergangsbestimmungen AsylV 2). Soweit diese Sicherheiten und Rückerstattungen den Maximalbetrag der Sonderabgabe von Fr. 15'000.00 übersteigen, sind sie an den Kontoinhaber zurückzuzahlen oder an die Sonderabgabepflicht seines Ehegatten anzurechnen (Abs. 8 Übergangsbestimmungen AsylV 2).</w:t>
      </w:r>
    </w:p>
    <w:p>
      <w:r>
        <w:rPr>
          <w:b/>
        </w:rPr>
        <w:t>E. 3.3</w:t>
      </w:r>
    </w:p>
    <w:p>
      <w:r>
        <w:t>Der Beschwerdeführer hält dieses Vorgehen für bundesrechtswidrig. Zur Begründung führt er in der Beschwerdeschrift aus, er habe seit Juni 2001 monatlich 10 % von seinem Erwerbseinkommen auf das Sicherheitskonto einbezahlt, dies mit dem Wissen, dass er das Geld nach Abzug bezogener Fürsorgeleistungen zurückerhalten werde. Per 31. Dezember 2007 sei er von der Sicherheitsleistungspflicht befreit worden. Nachdem er dieses Geld unter ganz anderen Voraussetzungen einbezahlt habe und zwar zu einem Zeitpunkt, als das neue Gesetz noch gar nicht in Kraft gestanden sei, sei für ihn nicht nachvollziehbar, weshalb er nun einen so grossen Betrag an den Bund entrichten müsse. Seiner Meinung nach müsse über sein Sicherheitskonto nach dem altrechtlichen Modus abgerechnet werden, der nach Abzug individuell verursachter Kosten von Fr. 5'583.00 zu seinen Gunsten einen Saldo von Fr. 13'304.65 ergebe. Die Auszahlung dieses Betrags sei für ihn deshalb ganz besonders wichtig, weil er gegenwärtig ein Architekturstudium absolviere und im Rahmen der Ausbildungsfinanzierung dieses Geld budgetiert habe. In der Replik hält er dafür, seiner besonderen Situation müsse bei der Abrechnung über sein Sicherheitskonto Rechnung getragen werden.</w:t>
      </w:r>
    </w:p>
    <w:p>
      <w:r>
        <w:rPr>
          <w:b/>
        </w:rPr>
        <w:t>E. 3.4</w:t>
      </w:r>
    </w:p>
    <w:p>
      <w:r>
        <w:t>Den Einwänden des Beschwerdeführers kann bei allem Verständnis für seine Situation nicht gefolgt werden. Es ist unbestreitbar, dass bei ihm vor dem Inkrafttreten der Rechtsänderung am 1. Januar 2008 kein Schluss­abrechnungsgrund von Art. 87 AsylG (1998) eingetreten ist. Die Abrechnung über sein Sicherheitskonto und dessen Liquidation richtet sich daher nicht nach altem Recht, sondern nach Abs. 6 bis Abs. 8 Übergangsbestimmungen AsylV 2, die - wie oben dargelegt - den Einbezug von unter altem Recht geleisteten Rückerstattungen und Sicherheitsleistungen in der Höhe des Maximalbetrags der Sonderabgabe von Fr. 15'000.00 gerade vorsehen. Die angefochtene Verfügung steht damit in Einklang. Was die vom Beschwerdeführer verlangte Berücksichtigung seiner besonderen Situation anbelangt, ist darauf hinzuweisen, dass die übergangsrechtliche Ordnung keine Ermessenspielräume vorsieht, die das ermöglichen würden. Sind die tatbeständlichen Voraussetzungen der gesetzlichen Ordnung erfüllt, wie es vorliegend der Fall ist, so haben die von ihr vorgesehenen Rechtsfolgen zu greifen. Im Übrigen hat sich das Bundesverwaltungsgericht im vorerwähnten Grundsatzurteil C-7179/2008 vom 21. Dezember 2010 (E. 3 und 6) mit der Frage der Verfas­sungs­konformität der übergangsrechtlichen Ordnung - namentlich auch unter dem Gesichtspunkt einer echten belastenden Rückwirkung - befasst und festgestellt, dass ihr gestützt auf Art. 190 der Bundes­verfassung der Schweizerischen Eidgenossenschaft vom 18. April 1999 (BV, SR 101) die Anwendung nicht versagt werden darf.</w:t>
      </w:r>
    </w:p>
    <w:p>
      <w:r>
        <w:rPr>
          <w:b/>
        </w:rPr>
        <w:t>E. 3.5</w:t>
      </w:r>
    </w:p>
    <w:p>
      <w:r>
        <w:t>Nach einem neuesten Urteil des Bundesverwaltungsgerichts ist die Sonderabgabepflicht in ihrer heutigen Ausgestaltung insoweit nicht mit dem Abkommen vom 28. Juli 1951 über die Rechtsstellung der Flüchtlinge (FK, SR 0.142.30) vereinbar, als sie Asylsuchende trifft, die wie der Beschwerdeführer die materielle Flüchtlingseigenschaft gemäss Art. 1 A FK erfüllen. Art. 29 Ziff. 1 FK untersagt nämlich den Vertragsstaaten die fiskalische Benachteiligung von Flüchtlingen im materiellen Sinn gegenüber eigenen Staatsangehörigen. Die Inanspruchnahme von Art. 29 Ziff. 1 FK kann zwar aufgeschoben werden, bis geklärt ist, ob einer Person tatsächlich die Flüchtlingseigenschaft zukommt. Ist das jedoch der Fall, sind die Vertragsstaaten gehalten, den Nachteil auszugleichen, der einem Flüchtling durch das vorläufige Vorenthalten seiner Rechte zugefügt wurde. Einen solchen Ausgleich kennt das geltende Recht nicht. Es sieht keinen Mechanismus vor, der sicherstellt, dass sonderabgabepflichtige Asylsuchende, die später Asyl erhalten oder als Flüchtlinge vorläufig aufgenommen werden, rückwirkend gleich gestellt werden, wie Schweizer in vergleichbarer Situation. Das Bundesverwaltungsgericht hat jedoch entschieden, dass dieser Konflikt zwischen Landes- und Völkerrecht vom schweizerischen Gesetzgeber bewusst in Kauf genommen wurde und der Sonderabgabeordnung daher die Anwendung nicht versagt werden darf (vgl. Urteil des Bundesverwaltungsgerichts C-1026/2009 vom 31. Oktober 2012 E. 7 bis 11).</w:t>
      </w:r>
    </w:p>
    <w:p>
      <w:r>
        <w:rPr>
          <w:b/>
        </w:rPr>
        <w:t>E. 4</w:t>
      </w:r>
    </w:p>
    <w:p>
      <w:r>
        <w:t>Abschliessend ist festzuhalten, dass die angefochtene Verfügung im Lichte von Art. 49 VwVG nicht zu beanstanden ist. Die Beschwerde ist deshalb abzuweisen.</w:t>
      </w:r>
    </w:p>
    <w:p>
      <w:r>
        <w:rPr>
          <w:b/>
        </w:rPr>
        <w:t>E. 5</w:t>
      </w:r>
    </w:p>
    <w:p>
      <w:r>
        <w:t>Dem Beschwerdeführer wurde in Anwendung von Art. 65 Abs. 1 VwVG die unentgeltliche Rechtspflege in Gestalt der Befreiung von den Verfahrenskosten gewährt. Verfahrenskosten sind daher nicht zu erheben.</w:t>
      </w:r>
    </w:p>
    <w:p>
      <w:r>
        <w:rPr>
          <w:b/>
        </w:rPr>
        <w:t>E. 6</w:t>
      </w:r>
    </w:p>
    <w:p>
      <w:r>
        <w:t>Das vorliegende Urteil ist endgültig (Art. 83 Bst. c Ziff. 3 und Bst. d Ziff. 1 des Bundesgerichtsgesetzes vom 17. Juni 2005 [BGG, SR 173.110]). Dispositiv S.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