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C-7476/2015 vom 17. Januar 2019</w:t>
      </w:r>
    </w:p>
    <w:p>
      <w:r>
        <w:t>Bundesverwaltungsgericht, 2019-01-17, FR</w:t>
      </w:r>
    </w:p>
    <w:p>
      <w:r>
        <w:rPr>
          <w:b/>
        </w:rPr>
        <w:t xml:space="preserve">Quelle: </w:t>
      </w:r>
      <w:r>
        <w:t>https://mcp.opencaselaw.ch/entscheid/bvger_C-7476_2015</w:t>
      </w:r>
    </w:p>
    <w:p>
      <w:r>
        <w:t>FR: TAF C-7476/2015 du 17 janvier 2019</w:t>
      </w:r>
    </w:p>
    <w:p>
      <w:r>
        <w:t>IT: TAF C-7476/2015 del 17 gennaio 2019</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Manifestement déposé en temps utile dans les formes requises par la loi (art. 60 LPGA et art. 52 PA), le recours interjeté le 29 octobre 2015 (date du timbre postal ; annexe pce TAF 1) à l'encontre d'une décision du 2 octobre 2015 est recevable. Compte tenu du fait que le recourant est domicilié dans le département du Haut-Rhin, en France voisine, et qu'au jour de la décision querellée, il était sous contrat de travail avec un employeur sis en Suisse, il doit être qualifié de frontalier. C'est ainsi à raison que la procédure d'instruction de la demande de prestations de l'assurance-invalidité a été menée par l'autorité compétente du canton de D._______ et la décision de refus notifiée par l'OAIE (cf. pce AI 62 ; art. 40 du règlement du 17 janvier 1961 sur l'assurance-invalidité [RAI ; RS 831.201]).</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et ATF 130 V 455 consid. 1.2 ; cf. toutefois ci-dessous, consid. 2.5).</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L'art. 29 al. 1 LAI prévoit que le droit à la rente prend naissance au plus tôt à l'échéance d'une période de six mois à compter de la date à laquelle l'assuré a fait valoir son droit aux prestations conformément à l'art. 29 al. 1 LPGA.</w:t>
      </w:r>
    </w:p>
    <w:p>
      <w:r>
        <w:rPr>
          <w:b/>
        </w:rPr>
        <w:t>E. 2.4</w:t>
      </w:r>
    </w:p>
    <w:p>
      <w:r>
        <w:t>En l'espèce, A._______, ressortissant français résidant en France, soit dans un Etat membre de l'Union européenne, a déposé sa requête de prestations de l'assurance-invalidité le 26 février 2015 (ci-dessus, let. C), si bien que le Tribunal peut se limiter à examiner si le recourant avait droit à une rente le 1er août 2015 (soit six mois après le dépôt de la demande) ou si le droit à une rente était né entre cette date et le 2 octobre 2015, date de la décision attaquée marquant la limite dans le temps du pouvoir d'examen de l'autorité de recours (ATF 130 V 445 consid. 1.2 et 1.2.1 et ATF 129 V 1 consid. 1.2).</w:t>
      </w:r>
    </w:p>
    <w:p>
      <w:r>
        <w:rPr>
          <w:b/>
        </w:rPr>
        <w:t>E. 2.5</w:t>
      </w:r>
    </w:p>
    <w:p>
      <w:r>
        <w:t>Par ailleurs, le Tribunal se fondera sur l'état de fait au jour de la décision querellée, soit au 2 octobre 2015. Les éléments de fait postérieurs à cette date ne doivent en principe pas être pris en considération, sauf s'ils permettent une meilleure compréhension de l'état de santé du recourant antérieur à la décision attaquée (ATF 130 V 445 consid. 1.2.1).</w:t>
      </w:r>
    </w:p>
    <w:p>
      <w:r>
        <w:rPr>
          <w:b/>
        </w:rPr>
        <w:t>E. 3.1</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(cf. Benoît Bovay, Procédure administrative, 2ème édit., 2015, p. 243 ; Jérôme Candrian, Introduction à la procédure administrative fédérale, La procédure devant les autorités administratives fédérales et le Tribunal administratif fédéral, 2013, n° 176). Cependant, l'autorité saisie se limite en principe aux griefs soulevés par le recourant et n'examine les questions de droit non invoquées que dans la mesure où les arguments des parties ou le dossier l'y incite (ATF 122 V 157 consid. 1a et ATF 121 V 204 consid. 6c ; cf. André Moser / Michael Beusch / Lorenz Kneubühler, Prozessieren vor dem Bundesverwaltungsgericht, 2ème édit., 2013, ch. 1.55). Elle ne tient pour existants que les faits qui sont au moins prouvés au degré de la vraisemblance prépondérante (ATF 139 V 176 consid. 5.2).</w:t>
      </w:r>
    </w:p>
    <w:p>
      <w:r>
        <w:rPr>
          <w:b/>
        </w:rPr>
        <w:t>E. 3.2</w:t>
      </w:r>
    </w:p>
    <w:p>
      <w:r>
        <w:t>In casu, le Tribunal examinera le bien-fondé de la décision du 2 octobre 2015, par laquelle l'OAIE a rejeté la seconde demande d'octroi de prestations d'invalidité déposée par A._______ en date du 26 février 2015. Une première demande, formulée en novembre 2010, avait été rejetée par cette même autorité en février 2012.</w:t>
      </w:r>
    </w:p>
    <w:p>
      <w:r>
        <w:rPr>
          <w:b/>
        </w:rPr>
        <w:t>E. 4.1</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vingt-cinq ans au total (ci-dessus, let. A.a ; cf. également pce AI 5, pp. 2 et 3), si bien que la condition de la durée minimale de cotisations est manifestement remplie. Reste dès lors à examiner la question de l'invalidité dans le cas d'espèce.</w:t>
      </w:r>
    </w:p>
    <w:p>
      <w:r>
        <w:rPr>
          <w:b/>
        </w:rPr>
        <w:t>E. 5.1</w:t>
      </w:r>
    </w:p>
    <w:p>
      <w:r>
        <w:t>La décision objet de la présente procédure fait suite à une première demande de rente ayant été rejetée par l'OAIE en février 2012 (cf. ci-dessus, let. B.d).</w:t>
      </w:r>
    </w:p>
    <w:p>
      <w:r>
        <w:rPr>
          <w:b/>
        </w:rPr>
        <w:t>E. 5.2</w:t>
      </w:r>
    </w:p>
    <w:p>
      <w:r>
        <w:t>En application de l'art. 87 al. 2 et 3 du règlement du 17 janvier 1961 sur l'assurance-invalidité (RAI ;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5.3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5.4</w:t>
      </w:r>
    </w:p>
    <w:p>
      <w:r>
        <w:t>Lorsque l'administration est entrée en matière selon l'art. 87 al. 3 RAI en lien avec l'al. 2 RAI, il convient d'examiner, par analogie avec l'art. 17 al. 1 LPGA relatif à la révision du droit à la rente (ATF 130 V 71 consid. 3.2 ; arrêt du Tribunal fédéral 9C_246/2013 du 20 septembre 2013 consid. 2.2), si entre la décision de refus de prestations entrée en force et la décision litigieuse, un changement important des circonstances propre à influencer le degré d'invalidité, et donc le droit à la rente, s'est produit (ATF 125 V 368 consid. 2 ; ATF 133 V 108 ; ATF 130 V 71).</w:t>
      </w:r>
    </w:p>
    <w:p>
      <w:r>
        <w:rPr>
          <w:b/>
        </w:rPr>
        <w:t>E. 5.5</w:t>
      </w:r>
    </w:p>
    <w:p>
      <w:r>
        <w:t>En l'espèce, l'administration est entrée en matière sur la nouvelle demande du recourant et l'a rejetée au motif que les conditions requises pour l'octroi de prestations de l'assurance-invalidité n'étaient pas remplies. Par conséquent, le Tribunal de céans doit déterminer, en comparant la décision rendue en 2012 (ci-dessus, let. B.d) à celle du 2 octobre 2015, si le recourant remplit nouvellement les conditions d'octroi d'une rente (art. 29 al. 1 LAI ; ATF 133 V 108 consid. 4.2 ; comp. 142 V 547 consid. 3 et ATF 140 V 2 consid. 5).</w:t>
      </w:r>
    </w:p>
    <w:p>
      <w:r>
        <w:rPr>
          <w:b/>
        </w:rPr>
        <w:t>E. 6.1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6.2</w:t>
      </w:r>
    </w:p>
    <w:p>
      <w:r>
        <w:t>Le taux d'invalidité d'une personne exerçant une activité lucrative est fixé d'après la comparaison des revenus prévue par l'art. 16 LPGA, c'est-à-dire essentiellement selon des considérations économiques. Ainsi, le revenu que l'assuré aurait pu obtenir s'il n'avait pas été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ou psychique,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les références citées).</w:t>
      </w:r>
    </w:p>
    <w:p>
      <w:r>
        <w:rPr>
          <w:b/>
        </w:rPr>
        <w:t>E. 6.3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pourraient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6.4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elles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et les références citées).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soit établi à la demande d'une partie et soit produit pendant la procédure ne justifie pas en soi des doutes quant à sa valeur probante (ATF 125 V 351 consid. 3b/dd).</w:t>
      </w:r>
    </w:p>
    <w:p>
      <w:r>
        <w:rPr>
          <w:b/>
        </w:rPr>
        <w:t>E. 6.5</w:t>
      </w:r>
    </w:p>
    <w:p>
      <w:r>
        <w:t>S'agissant des rapports des Services médicaux régionaux (ci-après :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Pour avoir valeur probante, de tels rapports ne peuvent suivre une appréciation sans établir les raisons pour lesquelles des appréciations différentes ne sont pas suivies (arrêt du Tribunal fédéral 9C_165/2015 du 12 novembre 2015 consid. 4.3).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(arrêts du Tribunal fédéral 9C_335/2015 du 1er septembre 2015 consid. 3.1 8C_653/2009 du 28 octobre 2009 consid. 5.2 et 8C_239/2008 du 17 décembre 2009 consid. 7.2). Selon la jurisprudence, il n'est pas interdit aux tribunaux des assurances de se fonder uniquement ou principalement sur les rapports internes des SMR mais, en de telles circonstances, l'appréciation des preuves sera soumise à des exigences sévères. Une instruction complémentaire sera ainsi requise s'il subsiste des doutes, même minimes, quant au bien-fondé des rapports et expertises médicaux (ATF 139 V 225 consid. 5.2 et ATF 135 V 465 consid. 4.4 et les références citées). Si les pièces du dossier ne permettent pas de trancher les questions contestées, les rapports sur dossier du SMR au sens de l'art. 49 al. 1 et 3 RAI ne peuvent généralement pas constituer une évaluation finale, mais doivent donner lieu à une instruction complémentaire (arrêt du Tribunal fédéral 9C_58/2011 du 25 mars 2011 consid. 3.3).</w:t>
      </w:r>
    </w:p>
    <w:p>
      <w:r>
        <w:rPr>
          <w:b/>
        </w:rPr>
        <w:t>E. 6.6</w:t>
      </w:r>
    </w:p>
    <w:p>
      <w:r>
        <w:t>Enfin, il convient également de rappeler que les organes de l'assurance-invalidité ne sont pas liés par l'évaluation de l'invalidité faite par les organes de l'assurance-accident (ATF 133 V 549 consid. 6 et les références citées ; cf. également les arrêts du Tribunal fédéral 8C_490/2015 du 24 mars 2016 consid. 3.2, et 8C_259/2013 du 4 juin 2013 consid. 2.2, ainsi que Ghislaine Frésard-Fellay / Bettina Kahil-Wolff / Stéphanie Perrenoud, Droit suisse de la sécurité sociale, Volume II, 2015, n° 116).</w:t>
      </w:r>
    </w:p>
    <w:p>
      <w:r>
        <w:rPr>
          <w:b/>
        </w:rPr>
        <w:t>E. 7.1</w:t>
      </w:r>
    </w:p>
    <w:p>
      <w:r>
        <w:t>En l'espèce, par une décision non datée (pce AI 36 ; cf. ci-dessus, let. B.d), l'OAIE avait rejeté une première demande de prestations d'invalidité, déposée le 29 novembre 2010. Le médecin du SMR avait retenu comme diagnostic avec répercussion sur la capacité de travail un cancer des cordes vocales et une hernie discale L4/L5 opérée le 30 septembre 2010 et constaté l'amélioration de l'état de santé de l'assuré suite aux opérations subies et aux traitements prescrits (pce AI 33, pp. 2 et 3).</w:t>
      </w:r>
    </w:p>
    <w:p>
      <w:r>
        <w:rPr>
          <w:b/>
        </w:rPr>
        <w:t>E. 7.2</w:t>
      </w:r>
    </w:p>
    <w:p>
      <w:r>
        <w:t>Suite au dépôt d'une nouvelle demande de prestations, le 26 février 2015, l'Office de l'assurance-invalidité du canton de D._______ a instruit la requête et l'OAIE a rendu, le 2 octobre 2015, la décision objet de la présente procédure. Celle-ci est principalement basée sur le rapport du SMR rédigé le 30 juin 2015 par le Dr E._______, médecin généraliste (pce AI 50), reprenant exhaustivement les conclusions de l'expertise cardiologique du Dr M._______, cardiologue, du 21 mai 2015 (pce AI 48). Dans le cadre de l'expertise cardiologique requise par l'autorité cantonale, le Dr M._______ s'est basé sur l'ensemble des pièces figurant au dossier ainsi que sur l'anamnèse professionnelle, sociale et médicale de A._______. Il a en outre examiné ce dernier et procédé à trois examens cardiologiques complémentaires. L'expert a abouti au diagnostic suivant : avec répercussion sur la capacité de travail : une maladie coronarienne bitronculaire (coronaropathie) et une hernie discale ; sans répercussion sur la capacité de travail : un cancer colique (en 2000), cancer du larynx (en 2010), un diabète type 2, du cholestérol et un abus de nicotine. Le Dr M._______ a finalement évalué la capacité de travail de l'assuré, l'estimant nulle dans l'activité habituelle mais complète dans une activité adaptée respectant des restrictions de marche et de port. Dans son mémoire de recours et dans ses écritures subséquentes, A._______ n'a pas expressément contesté l'expertise du Dr M._______ ; il a indiqué être atteint de plusieurs pathologies justifiant la reconnaissance d'une incapacité de travail à 100 % (cf. notamment pce TAF 5, p. 1). Dans le rapport du 30 juin 2015, puis dans la décision du 2 octobre 2015, le Dr E._______, respectivement l'OAIE, se sont bornés à reprendre, sans autre démarche, les conclusions du rapport précité.</w:t>
      </w:r>
    </w:p>
    <w:p>
      <w:r>
        <w:rPr>
          <w:b/>
        </w:rPr>
        <w:t>E. 7.3</w:t>
      </w:r>
    </w:p>
    <w:p>
      <w:r>
        <w:t>A l'analyse du dossier, le Tribunal constate que, sous l'angle cardiologique, le rapport du Dr M._______, basé sur une anamnèse complète ainsi que sur des examens cardiologiques complémentaires, établi par un praticien spécialiste en son domaine, exempt de contradiction, ne saurait prêter le flanc à la critique. Le Tribunal relève par contre que ledit rapport fait mention de l'hernie discale dont a souffert A._______ en 2009 et l'intègre dans le diagnostic ayant une répercussion sur sa capacité de travail. Or, l'on ne parvient pas à distinguer comment le praticien est parvenu à cette conclusion. On le comprend d'autant moins qu'il n'existe au dossier aucun élément probant faisant référence à cette affection depuis le rapport du Dr Q._______ du 17 novembre 2010 (pce AI 22) mentionnant expressément que le patient ne présentait plus de douleur lombosciatique et que son déficit moteur était complètement récupéré. Certes, A._______, au jour de l'expertise du Dr M._______, soit le 21 mai 2015, s'est plaint de douleurs dorsales et l'expert, qui n'est pas rhumatologue, a intégré, sans autre démarche ou investigation, l'hernie discale comme diagnostic ayant des répercussions sur la capacité de travail de l'expertisé. Par la suite, ni le médecin SMR ni l'autorité cantonale ni l'OAIE n'ont soulevé cette problématique ; ils se sont au contraire bornés à reprendre, in extenso, les conclusions de l'expert. Or, par le passé, il avait été précisément constaté que l'hernie discale n'avait plus de répercussions sur la capacité de travail de A._______. Ce fait aurait dû amener l'OAIE, avant de rendre une décision, à compléter l'instruction en soumettant cette question à un rhumatologue. Eu égard à cette omission, l'autorité inférieure, qui ne pouvait sans autre démarche reprendre les conclusions - sur le plan rhumatismal - posées par le Dr M._______, a établi les faits de façon incomplète.</w:t>
      </w:r>
    </w:p>
    <w:p>
      <w:r>
        <w:rPr>
          <w:b/>
        </w:rPr>
        <w:t>E. 8</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(arrêt du Tribunal fédéral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Tribunal fédéral 9C_162/2007 du 3 avril 2008 consid. 2.3 et les références citées) ou notamment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 nécessaire (cf. ATF 137 V 210 consid. 4.4.1.4 ; arrêt du Tribunal fédéral 8C_633/2014 du 11 décembre 2014 consid. 3.2 et 3.3). Tel est le cas en l'espèce. Partant, compte tenu du temps qui s'est écoulé depuis l'établissement des documents médicaux ayant servi à rendre la décision querellée, l'autorité inférieure reprendra l'instruction de la cause et procédera à une expertise pluridisciplinaire (cardiologie, rhumatologie, médecine interne et psychiatrie) en Suisse, au cours de laquelle les experts désignés seront notamment invités à clarifier l'éventuel impact de l'hernie discale dont a souffert l'assuré en 2009 et dont il s'était totalement remis (cf. rapport du Dr Q._______ du 17 novembre 2010 [pce AI 22]) ainsi que, toujours sur le plan rhumatologique, de la maladie de Dupuytren et de son éventuel effet sur la capacité de travail de l'intéressé depuis 1999 ; dans ladite expertise, il sera également tenu compte des éléments postérieurs à la décision entreprise, à savoir, principalement, de la dégradation de l'état de santé psychique de A._______ ayant notamment entraîné son hospitalisation en unité psychiatrique (cf. certificat du Dr R._______ du 24 novembre 2015 [annexe n° 7 pce TAF 13] et rapport du Dr S._______ [Clinique N._______] du 31 mars 2016 [annexe n° 31 pce TAF 13]). Dans le cadre de l'établissement de cette expertise, qui devra respecter les exigences jurisprudentielles rappelées précédemment (cf. ci-dessus, consid. 5), le recourant disposera notamment des droits tels que décrits par le Tribunal fédéral à l'ATF 137 V 210. Ceci fait, l'autorité de première instance déterminera l'éventuelle capacité de travail ainsi que, le cas échéant, une liste des activités de substitution respectueuses des limitations inhérentes à l'état de santé de A._______, avant de calculer la perte de gain et de rendre une nouvelle décision.</w:t>
      </w:r>
    </w:p>
    <w:p>
      <w:r>
        <w:rPr>
          <w:b/>
        </w:rPr>
        <w:t>E. 9.1</w:t>
      </w:r>
    </w:p>
    <w:p>
      <w:r>
        <w:t>Au regard de ce qui précède, le recours du 29 octobre 2015 est admis, la décision de l'OAIE du 2 octobre 2015 est annulée et la cause renvoyée à l'autorité inférieure pour complément d'instruction et nouvelle décision au sens des considérants du présent arrêt.</w:t>
      </w:r>
    </w:p>
    <w:p>
      <w:r>
        <w:rPr>
          <w:b/>
        </w:rPr>
        <w:t>E. 9.2</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6.2).</w:t>
      </w:r>
    </w:p>
    <w:p>
      <w:r>
        <w:rPr>
          <w:b/>
        </w:rPr>
        <w:t>E. 10.1</w:t>
      </w:r>
    </w:p>
    <w:p>
      <w:r>
        <w:t>Vu l'issue de la cause, il n'y a pas lieu de percevoir de frais de procédure (art. 69 al. 2 LAI et art. 63 al. 1 et 2 PA). L'avance de frais de 400 francs payée par le recourant en cours de procédure (ci-dessus, let. J.b) lui sera restituée dès l'entrée en force du présent arrêt.</w:t>
      </w:r>
    </w:p>
    <w:p>
      <w:r>
        <w:rPr>
          <w:b/>
        </w:rPr>
        <w:t>E. 10.2.1</w:t>
      </w:r>
    </w:p>
    <w:p>
      <w:r>
        <w:t>Conformément aux art. 64 al. 1 PA et 7 al. 1 du règlement du 21 février 2008 concernant les frais, dépens et indemnités fixés par le Tribunal administratif fédéral (FITAF ;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 voir, également, arrêt du Tribunal fédéral 9C_846/2015 du 2 mars 2016 consid. 3). Selon l'art. 14 FITAF, les parties qui ont droit au dépens et les avocats commis d'office doivent faire parvenir avant le prononcé un décompte de leurs prestations au tribunal (al. 1). A défaut de décompte, le tribunal fixe l'indemnité sur la base du dossier (al. 2, 2ème phrase).</w:t>
      </w:r>
    </w:p>
    <w:p>
      <w:r>
        <w:rPr>
          <w:b/>
        </w:rPr>
        <w:t>E. 10.2.2</w:t>
      </w:r>
    </w:p>
    <w:p>
      <w:r>
        <w:t>En l'espèce, A._______ a interjeté recours par l'entremise d'un organisme de défense des intérêts de ses affiliés, lequel s'est en substance limité à des écritures de transfert de documents médicaux. A ce titre, il se justifie de lui accorder une indemnité de dépens fixée, ex æquo et bono, à 300 francs, à charge de l'autorité inférieure. Le recourant n'étant pas domicilié en Suisse, dite indemnité n'est pas soumise à la TVA (art. 1er et 8 de la loi fédérale du 12 juin 2009 régissant la taxe sur la valeur ajoutée [LTVA ; RS 641.20]).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