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C-7472/2007 vom 3. April 2009</w:t>
      </w:r>
    </w:p>
    <w:p>
      <w:r>
        <w:t>Bundesverwaltungsgericht, 2009-04-03, DE</w:t>
      </w:r>
    </w:p>
    <w:p>
      <w:r>
        <w:rPr>
          <w:b/>
        </w:rPr>
        <w:t xml:space="preserve">Quelle: </w:t>
      </w:r>
      <w:r>
        <w:t>https://mcp.opencaselaw.ch/entscheid/bvger_C-7472_2007</w:t>
      </w:r>
    </w:p>
    <w:p>
      <w:r>
        <w:t>FR: TAF C-7472/2007 du 3 avril 2009</w:t>
      </w:r>
    </w:p>
    <w:p>
      <w:r>
        <w:t>IT: TAF C-7472/2007 del 3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des Kosovo unterliegt der Gesuchsteller damit der Visumspflicht.</w:t>
      </w:r>
    </w:p>
    <w:p>
      <w:r>
        <w:rPr>
          <w:b/>
        </w:rPr>
        <w:t>E. 7</w:t>
      </w:r>
    </w:p>
    <w:p>
      <w:r>
        <w:t>Die Sicherheitslage im seit mehr als einem Jahr unabhängigen Kosovo konnte zwar im Verlaufe der letzten Jahre weitgehend stabilisiert werden; auch ist der Wiederaufbau von Administration und Infrastruktur unter Beteiligung internationaler Organisationen und Staatengemeinschaften in Gang gekommen. Trotzdem steht der junge Staat noch immer vor massiven, unbewältigten wirtschaftlichen und politischen Problemen. Dazu zählen die hohe Arbeitslosigkeit von mehr als 50% der arbeitsfähigen Bevölkerung, die geringe Produktivität und die Abhängigkeit von Auslandsüberweisungen. Wichtige Teile der Infrastruktur im Kosovo wurden inzwischen erneuert oder wieder aufgebaut, ein nachhaltiger wirtschaftlicher Aufschwung ist aber noch nicht zu verzeichnen. Auch der Frieden ist noch nicht dauerhaft gesichert (Quelle: www.bmz.de. Stand Juni 2008, Seite besucht im März 2009). Gemäss World Bank Brief 2007 (aktualisiert im Dezember 2008) liegt der Armutsanteil der Bevölkerung im Kosovo bei 45% (Quelle: www.worldbank.org, besucht im März 2009). Entsprechend hoch ist der Anteil jener, die versuchen, ins Ausland zu gelangen, um sich unter günstigeren Lebensbedingungen eine bessere Existenz sichern zu können. Dabei gilt vor allem West- und Mitteleuropa und somit auch die Schweiz als Wunschdestination. Der Trend zur Auswanderung zeigt sich erfahrungsgemäss dort besonders stark, wo durch die Anwesenheit von Verwandten oder Freunden bereits ein minimales soziales Beziehungsnetz im Ausland besteht. Im Fall der Schweiz führt dies angesichts der restriktiven Zulassungsregelung nicht selten zur Umgehung ausländerrechtlicher Bestimmungen.</w:t>
      </w:r>
    </w:p>
    <w:p>
      <w:r>
        <w:rPr>
          <w:b/>
        </w:rPr>
        <w:t>E. 8</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w:t>
      </w:r>
    </w:p>
    <w:p>
      <w:r>
        <w:rPr>
          <w:b/>
        </w:rPr>
        <w:t>E. 9</w:t>
      </w:r>
    </w:p>
    <w:p>
      <w:r>
        <w:t>Der verheiratete Gesuchsteller ist 32 Jahre alt und Vater von zwei Kindern. Dem Beschwerdevorbringen zufolge lebt er mit seiner Familie in einem Haushalt, zu dem auch seine Mutter und der als Lehrer berufstätige Bruder Urim gehören. Offensichtlich bestreiten diese Haushaltsmitglieder ihren Lebensunterhalt mithilfe der Geldüberweisungen des Beschwerdeführers aus der Schweiz in Höhe von 200 Euro und mithilfe des Einkommens des Bruders Urim in Höhe von 100 Euro. Der Gesuchsteller selbst ist arbeitslos; zudem hat der Beschwerdeführer erwähnt, dass in einer solchen Situation seitens des Staates keine Unterstützung erfolgt (vgl. den in den vorinstanzlichen Akten befindlichen Auskunftsbogen an das kantonale Migrationsamt vom 10. Oktober 2007). Angesichts dieser Konstellation und der immer noch prekären wirtschaftlichen Lage im Kosovo ergeben sich Zweifel, ob X._______ nach dem beabsichtigen Besuchsaufenthalt wieder fristgerecht in sein Heimatland zurückkehren wird. Entgegen den Behauptungen des Beschwerdeführers böte auch die Existenz zurückbleibender Familienangehöriger seines Gastes keine hinreichende Gewähr für dessen anstandslose Wiederausreise. Denn auch wenn die meisten betroffenen Familien darunter leiden, auseinandergerissen zu werden, so überwiegt bei ihnen dennoch häufig die Hoffnung, der ins europäische Ausland emigrierte Angehörige möge zum Unterhalt der in der Heimat verbliebenen Verwandten beisteuern. Im Falle des Gesuchstellers wäre dies auch deshalb nicht unwahrscheinlich, weil - wie in der Beschwerde erwähnt - "viele" seiner Verwandten bereits in der Schweiz leben und damit bereits ein recht grosses Beziehungsnetz zur Verfügung stünde.</w:t>
      </w:r>
    </w:p>
    <w:p>
      <w:r>
        <w:rPr>
          <w:b/>
        </w:rPr>
        <w:t>E. 10</w:t>
      </w:r>
    </w:p>
    <w:p>
      <w:r>
        <w:t>Vor dem geschilderten Hintergrund ist das Risiko, dass der Gesuchsteller die Schweiz nach erfolgter Einreise nicht wieder fristgemäss verlassen könnte, hoch einzuschätzen. An dieser Einschätzung vermögen die gegenteiligen Zusicherungen des Beschwerdeführers nichts zu ändern, da bei der Abwägung des Risikos einer nicht fristgerechten Wiederausreise nicht so sehr die Absichten des Gastgebers, sondern in erster Linie das mögliche Verhalten des Gastes selbst von Bedeutung ist. Nur Letzterer ist in der Lage, hinreichend Gewähr für eine fristgerechte und anstandslose Wiederausreise zu bieten. Der Gastgeber kann zwar für gewisse finanzielle Risiken Garantie leisten, mangels rechtlicher und faktischer Durchsetzbarkeit nicht aber für ein bestimmtes Verhalten des Gastes (vgl. Urteil des Bundesverwaltungsgerichts C-3243/2007 vom 10. Juni 2008 E. 5.5).</w:t>
      </w:r>
    </w:p>
    <w:p>
      <w:r>
        <w:rPr>
          <w:b/>
        </w:rPr>
        <w:t>E. 11</w:t>
      </w:r>
    </w:p>
    <w:p>
      <w:r>
        <w:t>Die Vorinstanz durfte unter den gegebenen Umständen zu Recht davon ausgehen, die fristgerechte Wiederausreise des Gesuchstellers sei nicht gewährleistet. Zwar lässt sich diese Einschätzung nicht zu einer gesicherten Feststellung verdichten; sie reicht aber aus, um die Erteilung einer Einreisebewilligung - auf welche wie bereits erwähnt ohnehin kein Rechtsanspruch besteht - abzulehnen.</w:t>
      </w:r>
    </w:p>
    <w:p>
      <w:r>
        <w:rPr>
          <w:b/>
        </w:rPr>
        <w:t>E. 12</w:t>
      </w:r>
    </w:p>
    <w:p>
      <w:r>
        <w:t>Aus diesen Darlegungen folgt, dass die angefochtene Verfügung rechtmässig ist (Art. 49 VwVG). Die Beschwerde ist demzufolge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