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C-7461/2008 vom 27. Juli 2010</w:t>
      </w:r>
    </w:p>
    <w:p>
      <w:r>
        <w:t>Bundesverwaltungsgericht, 2010-07-27, IT</w:t>
      </w:r>
    </w:p>
    <w:p>
      <w:r>
        <w:rPr>
          <w:b/>
        </w:rPr>
        <w:t xml:space="preserve">Quelle: </w:t>
      </w:r>
      <w:r>
        <w:t>https://mcp.opencaselaw.ch/entscheid/bvger_C-7461_2008</w:t>
      </w:r>
    </w:p>
    <w:p>
      <w:r>
        <w:t>FR: TAF C-7461/2008 du 27 juillet 2010</w:t>
      </w:r>
    </w:p>
    <w:p>
      <w:r>
        <w:t>IT: TAF C-7461/2008 del 27 luglio 2010</w:t>
      </w:r>
    </w:p>
    <w:p>
      <w:pPr>
        <w:pStyle w:val="Heading2"/>
      </w:pPr>
      <w:r>
        <w:t>Regeste</w:t>
      </w:r>
    </w:p>
    <w:p>
      <w:r>
        <w:t>Rendite</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i ricorsi contro le decisioni, ai sensi dell'art. 5 della legge federale del 20 dicembre 1968 sulla procedura amministrativa (PA, RS 172.021), rese dalla Cassa svizzera di compensazione.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vecchiaia o per i superstiti svizzera sono regolate dal diritto interno svizzero.</w:t>
      </w:r>
    </w:p>
    <w:p>
      <w:r>
        <w:rPr>
          <w:b/>
        </w:rPr>
        <w:t>E. 2.3</w:t>
      </w:r>
    </w:p>
    <w:p>
      <w:r>
        <w:t>L'art. 153a LAVS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3.1</w:t>
      </w:r>
    </w:p>
    <w:p>
      <w:r>
        <w:t>L'oggetto del litigio in questa sede è la sussistenza dei presupposti per il riconoscimento di una rendita dell'assicurazione svizzera per la vecchiaia.</w:t>
      </w:r>
    </w:p>
    <w:p>
      <w:r>
        <w:rPr>
          <w:b/>
        </w:rPr>
        <w:t>E. 3.2</w:t>
      </w:r>
    </w:p>
    <w:p>
      <w:r>
        <w:t>Il ricorrente ha in particolare indicato d'avere lavorato in Svizzera dal (...) 1982 al (...) 1984 (dunque per una durata superiore all'anno richiesto per legge), durante la sua detenzione presso due penitenziari (quelli di Thorberg e di Berna [in Genfergasse]), e d'aver percepito un salario di oltre fr. 500.-- mensili. Ha precisato d'avere svolto lavori, segnatamente di falegnameria e carpenteria, anche per datori di lavoro esterni agli istituti di detenzione citati presso i quali sarebbe stato detenuto. Ha pure sostenuto che nel 1982-1984 era comunque compito della giustizia svizzera di pagare, o far pagare alle ditte interessate, i contributi per le sue prestazioni lavorative, non essendovi spazio per "un lavoro di schiavitù nel 20° secolo". Qualora non fossero stati pagati dei contributi, nonostante che "il medioevo è passato già da un pezzo", l'insorgente chiede di condannare la Cassa di Compensazione CSC al versamento del dovuto, ritenuto che incombeva alla stessa di riscuotere i dovuti contributi, fermo restando che egli neppure sapeva per quali datori di lavoro avrebbe lavorato durante i citati 25 mesi.</w:t>
      </w:r>
    </w:p>
    <w:p>
      <w:r>
        <w:rPr>
          <w:b/>
        </w:rPr>
        <w:t>E. 4.1</w:t>
      </w:r>
    </w:p>
    <w:p>
      <w:r>
        <w:t>Secondo l'art. 29 cpv. 1 LAVS, possono pretendere una rendita ordinaria di vecchiaia tutti gli aventi diritto ai quali possono essere computati almeno un anno intero di reddito, di accrediti per compiti educativi o assistenziali.</w:t>
      </w:r>
    </w:p>
    <w:p>
      <w:r>
        <w:rPr>
          <w:b/>
        </w:rPr>
        <w:t>E. 4.2</w:t>
      </w:r>
    </w:p>
    <w:p>
      <w:r>
        <w:t>Per ogni assicurato obbligato a pagare i contributi, è tenuto un conto individuale, sul quale sono annotate le indicazioni necessarie al calcolo delle rendite ordinarie (art. 30ter cpv. 1 LAVS). L'art. 140 cpv. 1 lett. d ed e dell'ordinanza del 31 ottobre 1947 sull'assicurazione per la vecchiaia e per i superstiti (OAVS; RS 831.101) stabilisce che la registrazione nel conto individuale dell'assicurato comprende l'anno di contribuzione e la durata contributiva in mesi nonché il reddito annuo in franchi.</w:t>
      </w:r>
    </w:p>
    <w:p>
      <w:r>
        <w:rPr>
          <w:b/>
        </w:rPr>
        <w:t>E. 4.3.1</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4.3.2</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(DFT 117 V 261 consid. 3 e relativi riferimenti), di avere esercitato un'attività lavorativa soggetta all'obbligo di contribuzione durante un periodo di tempo non considerato nel conteggio della rendita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Tribunale federale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Tribunale federale U 97/05 del 17 novembre 2006 consid. 5.3). La rettificazione del conto individuale comprende tutta la durata di contribuzione, pertanto pure gli anni per i quali il pagamento di contributi è prescritto ai sensi dell'art. 16 cpv. 1 LAVS.</w:t>
      </w:r>
    </w:p>
    <w:p>
      <w:r>
        <w:rPr>
          <w:b/>
        </w:rPr>
        <w:t>E. 5.1</w:t>
      </w:r>
    </w:p>
    <w:p>
      <w:r>
        <w:t>Questo Tribunale osserva che - malgrado incomba al ricorrente un obbligo di collaborazione accresciuto nella misura in cui egli pretende, a distanza di anni in occasione di una lite vertente sul diritto a prestazioni dell'assicurazione per la vecchiaia, di avere esercitato un'attività lavorativa soggetta all'obbligo di contribuzione durante un determinato periodo di tempo (cfr., sulla questione, il considerando 4.3 del presente giudizio e i citati riferimenti giurisprudenziali) - nella fattispecie in esame, conto tenuto delle particolari circostanze, l'autorità inferiore doveva necessariamente procedere ad un'istruzione più approfondita e dettagliata della domanda del ricorrente. In effetti, e nella misura in cui l'insorgente ha fatto valere il suo statuto di detenuto e l'esercizio di un'attività lucrativa durante un periodo superiore ai 2 anni in due differenti carceri nel Canton Berna - peraltro indicati entrambi in modo sufficientemente chiaro per potere, usando della necessaria diligenza, essere identificati - la CSC non poteva limitare la sua istruttoria alla richiesta all'Agenzia del personale della Cassa di compensazione del Canton Berna con riferimento ad uno solo dei due stabilimenti penitenziari evocati dal ricorrente (quello di Thorberg). In effetti, l'esistenza di un carcere a Berna alla Genfergasse (anche se al n° 22 e non al n° 20) è di pubblica notorietà, di modo che non si può rimproverare al ricorrente di non avere indicato con sufficiente precisione il secondo carcere in cui sarebbe stato detenuto all'epoca per consentire alla CSC di svolgere la dovuta indagine d'ufficio circa il pagamento di contributi sul reddito dell'attività lavorativa ivi svolta (come ha invece fatto l'autorità inferiore; cfr. nota interna dell'8 ottobre 2008 [doc. 26]). È altresì poco probabile che un detenuto ricevesse, negli anni 1982-1984, particolari attestazioni per il lavoro svolto durante la carcerazione e potesse provvedere alla loro idonea archiviazione e conservazione (nell'ottica, fra l'altro, di una futura dimostrazione nell'ambito di una procedura in materia di rendita per la vecchiaia). In siffatte circostanze, non può essere rimproverato al ricorrente di non avere esibito dei documenti - quali in particolare attestazioni dei datori di lavoro, certificati di lavoro, distinte di salario, buste paga - che potessero dimostrare l'esercizio di un'attività lavorativa sottoposta all'obbligo di contribuzione. Inoltre, i due penitenziari del Canton Berna indicati dal ricorrente esistono tuttora e non vi è ragione di dubitare che, su richiesta, possano fornire all'autorità inferiore i necessari ragguagli sull'attività lucrativa svolta dall'insorgente.</w:t>
      </w:r>
    </w:p>
    <w:p>
      <w:r>
        <w:rPr>
          <w:b/>
        </w:rPr>
        <w:t>E. 5.2</w:t>
      </w:r>
    </w:p>
    <w:p>
      <w:r>
        <w:t>Certo, ci si può chiedere se sussistesse, e in che misura, un obbligo di versamento di contributi assicurativi AVS per qualsiasi tipo di reddito conseguito in Svizzera anche solo durante un periodo detentivo da un lavoratore straniero non domiciliato nel nostro Paese. Da questo profilo, l'art. 1a lett. b LAVS (art. 1 lett. b LAVS all'epoca in cui si sarebbero realizzati i fatti di causa) prevede che sono obbligatoriamente assicurate le persone fisiche che esercitano un'attività lucrativa in Svizzera (quindi indipendentemente dal loro domicilio in Svizzera), senza che l'art. 6 OAVS contempli esplicitamente che le rimunerazioni conseguite dai detenuti durante la carcerazione non siano da annoverare quale reddito proveniente da un'attività lucrativa. Ora, se è vero, come è vero, che il Tribunale federale - peraltro in un contesto diverso, ossia quello della sospensione del pagamento delle rendite AI durante la detenzione (art. 21 cpv. 5 LPGA) - ha indicato che il peculio non costituisce di principio un reddito di un'attività lucrativa (cfr. per esempio sentenza del Tribunale federale 9C_702/2007 del 17 giugno 2008 consid. 4), esso ha pure precisato che la rimunerazione conseguita da un detenuto per esempio in regime di semiprigionia o di semilibertà costituisce un reddito da attività lucrativa (ibidem). Peraltro, il Consiglio di Stato del Canton Berna nel giugno del 2005, in risposta ad un'interpellanza del 21 aprile 2005, ha confermato che il Concordato della Svizzera nordoccidentale e centrale sull'esecuzione delle pene e delle misure prevede il pagamento (almeno dal 1986) dei contributi all'assicurazione vecchiaia da parte degli stabilimenti carcerari del Cantone per il detenuto che esercita un'attività lucrativa. Ha pure precisato, in risposta alla domanda n° 3 dell'interpellanza, che il pagamento dei contributi riguarda anche la rimunerazione definita come peculio (riferimento interpellanza I 098/2005, rintracciabile sul sito internet del Gran Consiglio del Cantone Berna [www.gr.be.ch/gr/de/index/geschaefte/geschaefte/archiv.html {interpel-lanza I 098/2005}]).</w:t>
      </w:r>
    </w:p>
    <w:p>
      <w:r>
        <w:rPr>
          <w:b/>
        </w:rPr>
        <w:t>E. 5.3</w:t>
      </w:r>
    </w:p>
    <w:p>
      <w:r>
        <w:t>Questo Tribunale ritiene dunque che, conto tenuto dell'insieme delle circostanze particolari ed eccezionali del caso di specie, sussisteva un obbligo dell'amministrazione di accertare più approfonditamente - e d'ufficio, ossia di propria iniziativa - i fatti rilevanti (v. fra l'altro, sulla questione della necessità e la portata dell'istruzione d'ufficio in materia, le sentenze del Tribunale federale H 195/01 del 17 luglio 2002 consid. 4, H 336/01 del 26 aprile 2002 consid. 5, H 161/01 del 21 agosto 2001 consid. 3 e 4). L'autorità inferiore avrebbe pertanto potuto e dovuto contattare le competenti autorità penali cantonali, le direzioni degli istituti di detenzione citati dall'insorgente rispettivamente la(e) compentente(i) cassa(e) di compensazione, alfine di assumere le informazioni necessarie concernenti segnatamente il periodo esatto di detenzione del ricorrente e il regime della detenzione nel tempo, gli stabilimenti carcerari in cui è stato detenuto, l'attività lucrativa svolta dal medesimo (all'interno o all'esterno del penitenziario), la rimunerazione del lavoro effettuato ed il versamento d'eventuali contributi AVS alla cassa di compensazione. Allo stato attuale dell'istruttoria non può in effetti essere seriamente e aprioristicamente escluso, per esempio, che il ricorrente abbia lavorato, in regime di semilibertà (per il condannato che ha scontato almeno la metà delle pena secondo l'art. 37 cifra 3 cpv. 2 CP in vigore all'epoca [art. 77a cpv. 1 CP nella versione attuale]), per un datore di lavoro esterno (di cui il competente penitenziario dovrebbe conoscere le coordinate) che abbia provveduto esso stesso a versare dei contributi AVS. Parimenti non può neppure essere escluso che siano stati versati dei contributi AVS a favore dell'insorgente dalla Prigione regionale di Berna (in Genfergasse 22), o da datori di lavoro esterni, per il reddito d'attività lucrativa conseguito dal ricorrente medesimo durante il periodo di espiazione della pena in detto stabilimento. Inoltre, non è dato sapere se già anteriormente al 1986, e a partire da quando, gli stabilimenti carcerari del Cantone Berna in questione provvedevano a versare contributi assicurativi sul peculio e segnatamente per quali detenuti e a quali condizioni.</w:t>
      </w:r>
    </w:p>
    <w:p>
      <w:r>
        <w:rPr>
          <w:b/>
        </w:rPr>
        <w:t>E. 5.4</w:t>
      </w:r>
    </w:p>
    <w:p>
      <w:r>
        <w:t>Da quanto esposto, discende che la decisione impugnata, che viola il diritto federale (accertamento inesatto ed incompleto dei fatti giuridicamente rilevanti), incorre nell'annullamento.</w:t>
      </w:r>
    </w:p>
    <w:p>
      <w:r>
        <w:rPr>
          <w:b/>
        </w:rPr>
        <w:t>E. 6</w:t>
      </w:r>
    </w:p>
    <w:p>
      <w:r>
        <w:t>Quando il Tribunale amministrativo federale annulla una decisione, esso può sostituirsi all'autorità inferiore e giudicare direttamente nel merito o rinviare la causa, con istruzioni vincolanti, all'autorità inferiore per un nuovo giudizio (ULRICH HÄFELIN /GEORG MÜLLER /FELIX UHLMANN, Allgemeines Verwaltungsrecht, 5a ed., Zurigo/Basilea/Ginevra 2006, n. 1977 pag. 418). In particolare, e di principio,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dal momento che l'autorità inferiore dovrà completare l'istruttoria di causa, nel senso indicato al considerando 5 del presente giudizio, alfine di potere poi statuire con cognizione di causa sulla richiesta rendita del ricorrente. Va altresì rilevato che qualora questo Tribunale dovesse completare esso stesso l'istruttoria deficitaria, per quanto ancora necessario, e statuire poi direttamente nel merito, esso priverebbe il ricorrente di un grado di giudizio dinanzi ad un'autorità di ricorso che gode di piena cognizione, ciò che nel caso di specie, conto tenuto segnatamente della violazione del principio inquisitorio da parte dell'autorità inferiore (cfr. sulla portata di tale principio il considerando 4.3.2 del presente giudizio) e della conseguente sommaria constatazione dei fatti, non vi è ragione di fare. Peraltro, secondo il Tribunale federale un rinvio della causa all'amministrazione per completamento dell'istruttoria è di principio giustificata allorquando l'autorità inferiore ha constatato i fatti in modo sommario nell'idea che il Tribunale li avrebbe poi chiariti come si conviene (v. sentenza del Tribunale federale 9C_162/2007 del 3 aprile 2008 consid. 2.3 e relativi riferimenti). Gli atti di causa sono pertanto rinviati all'autorità inferiore affinché completi l'istruttoria ed emani una nuova decisione ai sensi dei considerandi.</w:t>
      </w:r>
    </w:p>
    <w:p>
      <w:r>
        <w:rPr>
          <w:b/>
        </w:rPr>
        <w:t>E. 7.1</w:t>
      </w:r>
    </w:p>
    <w:p>
      <w:r>
        <w:t>Non si prelevano spese processuali (art. 85bis cpv. 2 LAVS).</w:t>
      </w:r>
    </w:p>
    <w:p>
      <w:r>
        <w:rPr>
          <w:b/>
        </w:rPr>
        <w:t>E. 7.2</w:t>
      </w:r>
    </w:p>
    <w:p>
      <w:r>
        <w:t>Si giustifica altresì l'attribuzione al ricorrente, rappresentato in questa sede da mandatario professionale, di un'indennità per spese ripetibili della sede federale (art. 64 PA in combinazione con l'art. 7 cpv. 1 e 2 del regolamento sulle tasse e sulle spese ripetibili nelle cause dinanzi al Tribunale amministrativo federale del 21 febbraio 2008 [TS-TAF, RS 173.320.2] a contrario). La stessa, in assenza di una nota dettagliata, è fissata d'ufficio (art. 14 cpv. 2 TS-TAF) in fr. 300.--, tenuto conto lavoro effettivo, relativamente contenuto, svolto dal rappresentante del ricorrente. L'indennità per ripetibili è posta a carico dell'UAIE.</w:t>
      </w:r>
    </w:p>
    <w:p>
      <w:r>
        <w:rPr>
          <w:b/>
        </w:rPr>
        <w:t>E. 7.3</w:t>
      </w:r>
    </w:p>
    <w:p>
      <w:r>
        <w:t>Visto l'esito della causa, e tenuto conto di quanto precede, la domanda di gratuito patrocinio è divenuta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