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C-7458/2008 vom 30. März 2009</w:t>
      </w:r>
    </w:p>
    <w:p>
      <w:r>
        <w:t>Bundesverwaltungsgericht, 2009-03-30, DE</w:t>
      </w:r>
    </w:p>
    <w:p>
      <w:r>
        <w:rPr>
          <w:b/>
        </w:rPr>
        <w:t xml:space="preserve">Quelle: </w:t>
      </w:r>
      <w:r>
        <w:t>https://mcp.opencaselaw.ch/entscheid/bvger_C-7458_2008</w:t>
      </w:r>
    </w:p>
    <w:p>
      <w:r>
        <w:t>FR: TAF C-7458/2008 du 30 mars 2009</w:t>
      </w:r>
    </w:p>
    <w:p>
      <w:r>
        <w:t>IT: TAF C-7458/2008 del 30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thailändische Staatsangehörige unterliegt die Beschwerdeführerin damit der Visumspflicht.</w:t>
      </w:r>
    </w:p>
    <w:p>
      <w:r>
        <w:rPr>
          <w:b/>
        </w:rPr>
        <w:t>E. 7.1</w:t>
      </w:r>
    </w:p>
    <w:p>
      <w:r>
        <w:t>Vorliegend ist zu überprüfen,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7.2</w:t>
      </w:r>
    </w:p>
    <w:p>
      <w:r>
        <w:t>Die Beschwerdeführerin stammt aus Thailand. Die Wirtschaft dieses Landes ist nach Bewältigung der Asienkrise von 1997 zwar wieder zu neuem Wachstum gelangt. Im Jahr 2007 lag das Wirtschaftswachstum bei robusten 4.8%. Für 2008 wurde - worauf überdies auch die Beschwerdeführerin in ihrer Rechtsmitteleingabe verwies - ein Wachstum zwischen 4.5% und 5.5% erwartet (vgl. Länder- und Reiseinformationen auf der Website des Auswärtigen Amtes, Länder- und Reiseinformationen &gt; Thailand &gt; Wirtschaft, &lt;http://www.aus-waertiges-amt.de&gt;, Stand: Juni 2008, besucht im März 2009). Die grundsätzlich ermutigenden wirtschaftlichen Entwicklungen können aber nicht über die Tatsache hinwegtäuschen, dass nach wie vor breite Bevölkerungsschichten von vergleichsweise schwierigen ökonomischen und sozialen Lebensbedingungen betroffen sind. Das Bruttoinlandprodukt pro Kopf der Bevölkerung betrug im Jahr 2007 nur gerade 3'737 USD, im Jahr 2008 schätzungsweise 4'102 USD (vgl. Länderbericht Thailand auf der Website des Staatssekretariats für Wirtschaft (SECO), Themen &gt; Aussenwirtschaft &gt; Länderinformationen &gt; Asien/Ozeanien &gt; Thailand,&lt;http://www.seco.admin.ch&gt;, Stand Juni 2008, besucht im März 2009).</w:t>
      </w:r>
    </w:p>
    <w:p>
      <w:r>
        <w:rPr>
          <w:b/>
        </w:rPr>
        <w:t>E. 7.3</w:t>
      </w:r>
    </w:p>
    <w:p>
      <w:r>
        <w:t>In Anbetracht der allgemeinen Situation gewichtete die Vorinstanz somit das Risiko einer nicht fristgerechten Wiederausreise zu Recht als relativ hoch. Den Ausführungen der Beschwerdeführerin in ihrer Rechtsmitteleingabe ist hingegen diesbezüglich zuzustimmen, als es zu schematisch und nicht haltbar wäre,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8.1</w:t>
      </w:r>
    </w:p>
    <w:p>
      <w:r>
        <w:t>Bei der Gesuchstellerin handelt es sich um eine 31-jährige, ledige Frau. Über ihre persönliche Situation ist bekannt, dass sie Mutter ist. Hingegen bestehen bezüglich Anzahl der Kinder Unklarheiten: Der Vertreter der Beschwerdeführerin, der auch ihr Gastgeber ist, macht geltend, die Beschwerdeführerin sei Mutter eines Kindes (vgl. Beschwerde, S. 7). Einer zusammen mit der Beschwerdeschrift eingereichten Geburtsurkunde ist hingegen zu entnehmen, sie habe zwei Kinder. Dies wird auch von der Schweizer Auslandvertretung bestätigt, die angibt, die zwei Kinder der Beschwerdeführerin seien 14 und 11 Jahre alt. Ob diese Diskrepanz als Hinweis auf eine - wie vorinstanzlich festgestellt - wenig enge Beziehung zwischen Gastgeber und Beschwerdeführerin zu deuten ist, muss jedoch aufgrund den vorliegenden, spärlichen Informationen zur familiären Situation der Beschwerdeführerin offen gelassen werden. Jedenfalls wurde auch vom Vertreter der Beschwerdeführerin der Sachverhalt in dieser Hinsicht nicht erläutert bzw. konkretisiert, obwohl in der vorinstanzlichen Vernehmlassung vom 15. Januar 2009 auf die zwei Kinder hingewiesen wird. Unabhängig von der Anzahl Kinder, lässt der Umstand, dass die Beschwerdeführerin Mutter - zumindest - eines minderjährigen Kindes ist, erkennen, dass sie die elterliche Obhut hat und auch wirtschaftlich für ihr Kind aufkommen muss. Damit ist zwar von familiären Verpflichtungen der Beschwerdeführerin (dem anlässlich ihres Besuchsaufenthalts zurückbleibenden Kind gegenüber) auszugehen. Solche Verhältnisse bilden für sich allein aber noch keine Garantie für eine fristgerechte und anstandslose Wiederausreise. Was die Beschwerdeführerin anbelangt, so ist ihr bald 12-jähriges Kind offensichtlich nicht mehr auf eine enge Betreuung durch die Mutter angewiesen. Andernfalls hätte die Beschwerdeführerin wohl kaum einen Besuch von drei Monaten in der Schweiz geplant (vgl. Visumantrag vom 18. September 2008). Wie in der Rechtsmitteleingabe geltend gemacht wird, soll die Betreuung bei Abwesenheit der Beschwerdeführerin denn auch von der Grossmutter des Kindes übernommen werden. Sodann zeigt die Erfahrung, dass zurückbleibende Angehörige gerade in Situationen angespannter wirtschaftlicher Verhältnisse nicht verlässlich davon abhalten können, den Entscheid für eine Emigration zu fällen. Eine Trennung von Familienangehörigen kann sogar von der Hoffnung gesteuert sein, diese aus dem Ausland besser unterstützen und allenfalls später nachziehen zu können.</w:t>
      </w:r>
    </w:p>
    <w:p>
      <w:r>
        <w:rPr>
          <w:b/>
        </w:rPr>
        <w:t>E. 8.2</w:t>
      </w:r>
    </w:p>
    <w:p>
      <w:r>
        <w:t>Nach Angaben der Beschwerdeführerin gehe sie einer geregelten Arbeit nach. Einem der Beschwerde beigelegten Arbeitszeugnis ist zu entnehmen, sie arbeite als Verkäuferin. Allerdings bestehen keine Angaben über den Lohn, welche die Beschwerdeführerin aus dieser beruflichen Tätigkeit erzielt. Auch Belege wurden in diesem Zusammenhang nicht eingereicht, womit sich keine zuverlässigen Rückschlüsse auf die wirtschaftlichen Verhältnisse, in der die Beschwerdeführerin lebt, ziehen lassen. Aufgrund der bestehenden Akten kann jedenfalls nicht davon ausgegangen werden, die Beschwerdeführerin befinde sich in vorteilhaften und stabilen wirtschaftlichen Verhältnissen, die sie nachhaltig davon abzuhalten vermöchten, eine Emigration in die Schweiz in Erwägung zu ziehen.</w:t>
      </w:r>
    </w:p>
    <w:p>
      <w:r>
        <w:rPr>
          <w:b/>
        </w:rPr>
        <w:t>E. 8.3</w:t>
      </w:r>
    </w:p>
    <w:p>
      <w:r>
        <w:t>Auch die weiteren Ausführungen der Beschwerdeführerin - insbesondere das beschwerdeweise geltend gemachte laufende Mietverhältnis - sind nicht dazu geeignet, besondere persönliche oder wirtschaftliche Verpflichtungen der Beschwerdeführerin in ihrem Heimatland zu begründen.</w:t>
      </w:r>
    </w:p>
    <w:p>
      <w:r>
        <w:rPr>
          <w:b/>
        </w:rPr>
        <w:t>E. 8.4</w:t>
      </w:r>
    </w:p>
    <w:p>
      <w:r>
        <w:t>Der Vertreter der Beschwerdeführerin macht des Weiteren geltend, bei der Beschwerdeführerin handle es sich um eine Cousine seiner Lebenspartnerin (vgl. u.a. Schreiben vom 8. September 2008 an die Schweizer Auslandvertretung). Die Beschwerdeführerin selbst habe diese verwandschaftliche Beziehung jedoch nicht dokumentieren können, wie aus einem Schreiben der Schweizer Auslandvertretung hervorgeht. Die diesbezügliche replikweise angebrachte Erklärung des Vertreters der Beschwerdeführerin, die Grosseltern hätten bei der Anmeldung der Geburt der Beschwerdeführerin sich selbst als Eltern ausgegeben, vermag jedoch auch in Anbetracht des spärlichen Wissens der Beschwerdeführerin über ihren Gastgeber, nicht zu überzeugen: So sei sie nicht in der Lage gewesen, gegenüber der Schweizer Auslandvertretung Angaben zum Namen oder Beruf des Lebenspartners ihrer Cousine zu tätigen.</w:t>
      </w:r>
    </w:p>
    <w:p>
      <w:r>
        <w:rPr>
          <w:b/>
        </w:rPr>
        <w:t>E. 9</w:t>
      </w:r>
    </w:p>
    <w:p>
      <w:r>
        <w:t>Vorliegend kann auch nicht von einer unvollständiger Abklärung des Sachverhalts ausgegangen werden, wie dies beschwerdeweise geltend gemacht wird. Die Vorinstanz stützte sich in ihrem Entscheid nicht nur auf den Visumantrag vom 18. September 2008 und die Unterlagen der Schweizer Auslandvertretung, sondern liess zusätzlich noch durch den kantonalen Migrationsdienst weitere Abklärungen vornehmen, welche dem Gastgeber unter anderem die Möglichkeit einräumten, zum Aufenthaltszweck der Beschwerdeführerin Stellung zu nehmen (vgl. Schreiben des Migrationsdienstes des Kantons Bern vom 8. Oktober 2008). In diesem Zusammenhang übersieht die Beschwerdeführerin, dass einer Partei gemäss Art. 13 VwVG Mitwirkungspflichten obliegen. Wird ein Verfahren - wie in casu - auf eigenes Begehren eingeleitet, trifft die Partei eine gewisse Offenbarungs- und Substantiierungspflicht. Unter Berücksichtigung sämtlicher genannter Aspekte durfte die Vorinstanz zu Recht davon ausgehen, die fristgerechte Wiederausreise sei nicht hinreichend gewährleistet. Zwar lässt sich diese Prognose nicht zu einer gesicherten Feststellung verdichten; sie genügt indessen um die Erteilung einer Einreisebewilligung, auf welche ohnehin kein Rechtsanspruch besteht, abzulehnen.</w:t>
      </w:r>
    </w:p>
    <w:p>
      <w:r>
        <w:rPr>
          <w:b/>
        </w:rPr>
        <w:t>E. 10</w:t>
      </w:r>
    </w:p>
    <w:p>
      <w:r>
        <w:t>An dieser Risikoeinschätzung vermögen auch die Hinweise des Vertreters der Beschwerdeführerin und Gastgebers auf seine finanzielle und berufliche Situation sowie seine Garantieerklärung vom 8. September 2008 nichts zu ändern. Die Integrität des Vertreters der Beschwerdeführerin in seiner Eigenschaft als Gastgeber wird nicht in Zweifel gezogen.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 des Bundesverwaltungsgerichts C-6950/2007 vom 7. November 2008 E. 8). Auch das Vorbringen, wonach der Gastgeber bereits mehrmals Gäste seiner Lebenspartnerin aus Thailand empfangen habe und diese fristgerecht wieder ausgereist seien, geht ins Leere. Massgeblich für die Beurteilung der vorliegenden Beschwerde ist, ob der aktuell eingeladene Gast Gewähr für ihre fristgerechte Wiederausreise bietet. Wie vorstehend dargelegt, bestehen daran jedoch aufgrund des Gesamtzusammenhangs Zweifel. Die allfälligen anstandslosen Wiederausreisen früher vom Gastgeber eingeladener Personen vermögen diese nicht auszuräumen. Es wird im Übrigen auch nicht dargetan, inwiefern die Verhältnisse, in welchen sich die Beschwerdeführerin befindet, vergleichbar sein sollen mit denjenigen der erwähnten Personen.</w:t>
      </w:r>
    </w:p>
    <w:p>
      <w:r>
        <w:rPr>
          <w:b/>
        </w:rPr>
        <w:t>E. 11</w:t>
      </w:r>
    </w:p>
    <w:p>
      <w:r>
        <w:t>Folglich ist nicht zu beanstanden, dass die Vorinstanz das öffentliche Interesse sowie die Beachtung der geltenden Bestimmungen entsprechend gewichtete und der Gesuchstellerin die Einreise verweigerte. Die angefochtene Verfügung verletzt daher das Bundesrecht nicht. Soweit für das vorliegende Urteil massgebend wurde der rechtserhebliche Sachverhalt richtig und vollständig festgestellt, und die Vorinstanz hat das ihr zustehende Ermessen pflichtgemäss ausgeübt (vgl. 49 VwVG).</w:t>
      </w:r>
    </w:p>
    <w:p>
      <w:r>
        <w:rPr>
          <w:b/>
        </w:rPr>
        <w:t>E. 12</w:t>
      </w:r>
    </w:p>
    <w:p>
      <w:r>
        <w:t>Entsprechend dem Ausgang des Verfahrens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