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C-7455/2016 vom 2. Oktober 2019</w:t>
      </w:r>
    </w:p>
    <w:p>
      <w:r>
        <w:t>Bundesverwaltungsgericht, 2019-10-02, DE</w:t>
      </w:r>
    </w:p>
    <w:p>
      <w:r>
        <w:rPr>
          <w:b/>
        </w:rPr>
        <w:t xml:space="preserve">Quelle: </w:t>
      </w:r>
      <w:r>
        <w:t>https://mcp.opencaselaw.ch/entscheid/bvger_C-7455_2016</w:t>
      </w:r>
    </w:p>
    <w:p>
      <w:r>
        <w:t>FR: TAF C-7455/2016 du 2 octobre 2019</w:t>
      </w:r>
    </w:p>
    <w:p>
      <w:r>
        <w:t>IT: TAF C-7455/2016 del 2 ottobre 2019</w:t>
      </w:r>
    </w:p>
    <w:p>
      <w:pPr>
        <w:pStyle w:val="Heading2"/>
      </w:pPr>
      <w:r>
        <w:t>Regeste</w:t>
      </w:r>
    </w:p>
    <w:p>
      <w:r>
        <w:t>Freiwillige Versicherung</w:t>
      </w:r>
    </w:p>
    <w:p>
      <w:pPr>
        <w:pStyle w:val="Heading2"/>
      </w:pPr>
      <w:r>
        <w:t>Erwägungen</w:t>
      </w:r>
    </w:p>
    <w:p>
      <w:r>
        <w:rPr>
          <w:b/>
        </w:rPr>
        <w:t>E. 1</w:t>
      </w:r>
    </w:p>
    <w:p>
      <w:r>
        <w:t>Das Bundesverwaltungsgericht prüft von Amtes wegen, ob die Prozessvoraussetzungen erfüllt sind und ob auf eine Beschwerde einzutreten ist (BVGE 2007/6 E. 1 mit Hinweisen).</w:t>
      </w:r>
    </w:p>
    <w:p>
      <w:r>
        <w:rPr>
          <w:b/>
        </w:rPr>
        <w:t>E. 1.1</w:t>
      </w:r>
    </w:p>
    <w:p>
      <w:r>
        <w:t>Das Bundesverwaltungsgericht ist zuständig für die Beurteilung von Beschwerden gegen Verfügungen nach Art. 5 des Bundesgesetzes vom 20. Dezember 1968 über das Verwaltungsverfahren (VwVG, SR 172.021) sofern kein Ausnahmetatbestand erfüllt ist (Art. 31, 32 des Bundesgesetzes über das Bundesverwaltungsgericht vom 17. Juni 2005 [Verwaltungsgerichtsgesetz, VGG, SR 172.32]). Zulässig sind Beschwerden gegen Verfügungen von Vorinstanzen gemäss Art. 33 VGG. Die Schweizerische Ausgleichskasse SAK ist eine Vorinstanz im Sinn von Art. 33 Bst. d VGG (vgl. auch Art. 85bis Abs. 1 Bst. b des Bundesgesetzes vom 20. Dezember 1946 über die Alters- und Hinterlassenenversicherung [AHVG, SR 831.10]). Eine Ausnahme nach Art. 32 VGG liegt nicht vor. Das Bundesverwaltungsgericht ist zur Beurteilung der vorliegenden Beschwerde zuständig.</w:t>
      </w:r>
    </w:p>
    <w:p>
      <w:r>
        <w:rPr>
          <w:b/>
        </w:rPr>
        <w:t>E. 1.2</w:t>
      </w:r>
    </w:p>
    <w:p>
      <w:r>
        <w:t>Der Beschwerdeführer ist als Adressat durch den angefochtenen Einspracheentscheid besonders berührt und hat an dessen Aufhebung oder Änderung ein schutzwürdiges Interesse (Art. 48 Abs. 1 VwVG; vgl. auch Art. 59 des Bundesgesetzes vom 6. Oktober 2000 über den Allgemeinen Teil des Sozialversicherungsrechts [ATSG, SR 830.1]). Er ist zur Beschwerde legitimiert.</w:t>
      </w:r>
    </w:p>
    <w:p>
      <w:r>
        <w:rPr>
          <w:b/>
        </w:rPr>
        <w:t>E. 1.3</w:t>
      </w:r>
    </w:p>
    <w:p>
      <w:r>
        <w:t>Der angefochtene Einspracheentscheid vom 3. Oktober 2016 wurde dem Beschwerdeführer eingeschrieben an seine Adresse in Brasilien zugestellt (BVGer-act. 211). Die Beschwerde vom 1. November 2016 (Poststempel 11. November 2016) ging am 29. November 2016 beim Bundesverwaltungsgericht ein (BVGer act. 1). Die Beschwerde wurde unbestrittenermassen innerhalb von dreissig Tagen nach Eröffnung des angefochtenen Einspracheentscheids und somit fristgerecht eingereicht (vgl. Art. 22a VwVG in Verbindung mit Art. 60 ATSG). Die Beschwerde enthält einen Antrag und eine Begründung und wurde vom Beschwerdeführer unterzeichnet. Die Ausfertigung des angefochtenen Einspracheentscheids und weitere Beweismittel wurden beigelegt. Die Beschwerde erfolgte damit formgerecht (vgl. Art. 52 Abs. 1 VwVG). Auf die Beschwerde ist damit einzutreten.</w:t>
      </w:r>
    </w:p>
    <w:p>
      <w:r>
        <w:rPr>
          <w:b/>
        </w:rPr>
        <w:t>E. 2</w:t>
      </w:r>
    </w:p>
    <w:p>
      <w:r>
        <w:t>Das Verfahren vor dem Bundesverwaltungsgericht richtet sich nach dem VwVG, soweit das VGG nichts anderes bestimmt (vgl. Art. 37 VGG). Gemäss Art. 3 Bst. dbis VwVG bleiben in sozialversicherungsrechtlichen Verfahren die besonderen Bestimmungen des ATSG vorbehalten. Gemäss Art. 2 ATSG sind die Bestimmungen dieses Gesetzes auf die bundesgesetzlich geregelten Sozialversicherungen anwendbar, wenn und soweit die einzelnen Sozialversicherungsgesetze es vorsehen. Nach Art. 1 Abs. 1 AHVG sind die Bestimmungen des ATSG auf die im ersten Teil geregelte Alters- und Hinterlassenenversicherung anwendbar, soweit das AHVG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 Kognition, vgl. Benjamin Schindler, in: Auer/Müller/Schindler [Hrsg.], Kommentar zum Bundesgesetz über das Verwaltungsverfahren, Zürich 2008, Rz. 1 ff. zu Art. 49).</w:t>
      </w:r>
    </w:p>
    <w:p>
      <w:r>
        <w:rPr>
          <w:b/>
        </w:rPr>
        <w:t>E. 2.2</w:t>
      </w:r>
    </w:p>
    <w:p>
      <w:r>
        <w:t>Das Bundesverwaltungsgericht ist gemäss dem Grundsatz der Rechtsanwendung von Amtes wegen nicht an die Begründung der Begehren der Parteien gebunden (Art. 62 Abs. 4 VwVG). Im Rahmen seiner Kognition (E. 2.1 hiervor) kann es die Beschwerde auch aus anderen als den geltend gemachten Gründen gutheissen oder den angefochtenen Entscheid im Ergebnis mit einer Begründung bestätigen, die von jener der Vorinstanz abweicht (vgl. Fritz Gygi, Bundesverwaltungsrechtspflege, 2. Auflage, Bern 1983, S. 212; vgl. BGE 128 II 145 E. 1.2.2, BGE 127 II 264 E. 1b).</w:t>
      </w:r>
    </w:p>
    <w:p>
      <w:r>
        <w:rPr>
          <w:b/>
        </w:rPr>
        <w:t>E. 3</w:t>
      </w:r>
    </w:p>
    <w:p>
      <w:r>
        <w:t>In materiellrechtlicher Hinsicht sind grundsätzlich diejenigen Rechtsvorschriften anwendbar, die bei Erfüllung des zu Rechtsfolgen führenden Sachverhalts Geltung haben (BGE 134 V 315 E. 1.2; BGE 130 V 329 E. 2.3).</w:t>
      </w:r>
    </w:p>
    <w:p>
      <w:r>
        <w:rPr>
          <w:b/>
        </w:rPr>
        <w:t>E. 3.1</w:t>
      </w:r>
    </w:p>
    <w:p>
      <w:r>
        <w:t>Das Sozialversicherungsverfahren der Verwaltung richtet sich nach Art. 34 ff. ATSG (Art. 3 Bst. dbis VwVG i.V. mit Art. 2 ATSG und Art. 1 Abs. 1 AHVG).</w:t>
      </w:r>
    </w:p>
    <w:p>
      <w:r>
        <w:rPr>
          <w:b/>
        </w:rPr>
        <w:t>E. 3.2</w:t>
      </w:r>
    </w:p>
    <w:p>
      <w:r>
        <w:t>Da zwischen der Schweiz und Brasilien (Wohnsitz des Beschwerdeführers) kein Abkommen im Bereich des Sozialversicherungsrechts besteht und der Beschwerdeführer schweizerischer Staatsangehöriger ist, kommt das schweizerische Recht zur Anwendung.</w:t>
      </w:r>
    </w:p>
    <w:p>
      <w:r>
        <w:rPr>
          <w:b/>
        </w:rPr>
        <w:t>E. 4</w:t>
      </w:r>
    </w:p>
    <w:p>
      <w:r>
        <w:t>Der Anfechtungsgegenstand und damit die Grenze der Überprüfungsbefugnis im Beschwerdeverfahren werden grundsätzlich durch die Verfügung bzw. durch den Einspracheentscheid im Verwaltungsverfahren bestimmt (BGE 133 II 30; BGE 122 V 36 E. 2a). Vorliegend ist das Anfechtungsobjekt der Einspracheentscheid vom 3. Oktober 2016 (SAK-act. 211), mit welchem die Vorinstanz auf die Einsprache des Beschwerdeführers gegen die Ausschlussverfügung vom 12. Januar 2016 (SAK-act. 197) nicht eingetreten ist. Im Folgenden ist daher zu prüfen, ob die Vorinstanz zu Recht die handschriftliche Eingabe vom 22. März 2016 (SAK-act. 199, S. 1) bzw. die vom Beschwerdeführer versandte E-Mail vom 18. Juni 2016 (SAK-act. 229, S. 14) nicht als Einsprache behandelte und daher den Nichteintretensentscheid fällte. Nicht zum Streitgegenstand gehört demgegenüber die Frage, ob die Vorinstanz den Beschwerdeführer zu Recht aus der freiwilligen Versicherung ausgeschlossen hat. Soweit der Beschwerdeführer die Fortführung der freiwilligen Versicherung beantragt, kann auf seine Beschwerde nicht eingetreten werden.</w:t>
      </w:r>
    </w:p>
    <w:p>
      <w:r>
        <w:rPr>
          <w:b/>
        </w:rPr>
        <w:t>E. 5.1</w:t>
      </w:r>
    </w:p>
    <w:p>
      <w:r>
        <w:t>Die Vorschriften bezüglich der Form von Einsprachen gegen Verfügungen von Sozialversicherungsträgern sind in Art. 52 ATSG sowie Art. 10 Abs. 2, 3 und 4 ATSV festgelegt. Art. 10 Abs. 2 ATSV regelt die Fälle, in denen die Einsprache zwingend schriftlich zu erheben ist. Da die vorliegend zu beurteilende Einsprache nicht unter diese Bestimmung fällt, konnte sie wahlweise schriftlich oder bei persönlicher Vorsprache mündlich erhoben werden (Art. 10 Abs. 3 ATSV). Eine Einsprache per E-Mail ist aus Beweisgründen nicht vorgesehen. Da im vorliegenden Fall eine persönliche Vorsprache nicht erfolgt ist, war die Einsprache schriftlich zu erheben.</w:t>
      </w:r>
    </w:p>
    <w:p>
      <w:r>
        <w:rPr>
          <w:b/>
        </w:rPr>
        <w:t>E. 5.2</w:t>
      </w:r>
    </w:p>
    <w:p>
      <w:r>
        <w:t>Die schriftlich erhobene Einsprache muss die Unterschrift der Einsprache führenden Person oder ihres Rechtsbeistands enthalten (Art. 10 Abs. 4 erster Satz ATSV). Im vorliegenden Fall hat der Beschwerdeführer die Eingabe selber unterschrieben (SAK-act. 199).</w:t>
      </w:r>
    </w:p>
    <w:p>
      <w:r>
        <w:rPr>
          <w:b/>
        </w:rPr>
        <w:t>E. 5.3</w:t>
      </w:r>
    </w:p>
    <w:p>
      <w:r>
        <w:t>Des Weiteren müssen Einsprachen ein Rechtsbegehren und eine Begründung enthalten (Art. 10 Abs. 1 ATSV). Diese Elemente müssen offen verstanden werden, denn für die Annahme einer Einsprache reicht aus, wenn der Wille feststeht, die erlassene Verfügung nicht zu akzeptieren. Eine ausdrückliche Begründung kann beigefügt werden, doch handelt es sich dabei nicht um eine zwingend zu erfüllende formelle Anforderung (vgl. BGE 115 V 426; Ueli Kieser, ATSG-Kommentar, 3. Aufl., Zürich 2015, Art. 52 Rz. 36).</w:t>
      </w:r>
    </w:p>
    <w:p>
      <w:r>
        <w:rPr>
          <w:b/>
        </w:rPr>
        <w:t>E. 5.4</w:t>
      </w:r>
    </w:p>
    <w:p>
      <w:r>
        <w:t>Da im Einspracheverfahren das Rügeprinzip gilt (vgl. BGE 119 V 350 f.), sind in formeller Hinsicht an die Einsprache nur minimale Anforderungen zu stellen. Dies bringt häufig die Notwendigkeit mit sich, zur Feststellung der geäusserten Rügen eine Auslegung der Einsprache vorzunehmen. Steht der Wille des Einsprechers fest, die angefochtene Verfügung nicht hinnehmen zu wollen, gilt diese als insgesamt angefochten (derselbe, Art. 52 Rz. 37).</w:t>
      </w:r>
    </w:p>
    <w:p>
      <w:r>
        <w:rPr>
          <w:b/>
        </w:rPr>
        <w:t>E. 5.5</w:t>
      </w:r>
    </w:p>
    <w:p>
      <w:r>
        <w:t>Die Vorinstanz machte hinsichtlich der Eingabe vom 22. März 2016 (SAK-act. 199, S. 1) geltend, dass diese unlesbar und inhaltlich unverständlich sei (SAK-act. 206, S. 1; SAK-act. 205). Das Schreiben ist in der Tat schwer lesbar, doch zumindest kann ihm entnommen werden, dass der Beschwerdeführer um Klärung des Grundes des Ausschlusses aus der freiwilligen Versicherung wegen einer angeblich fehlenden Zahlung bat, da seiner Ansicht nach alle Rechnungen beglichen worden seien und er mit dem Ausschluss aus der freiwilligen Versicherung nicht einverstanden war, da er doch stets alle Zahlungen entrichtet habe. Das Rechtsbegehren ergibt sich somit konkludent. Es kann indes offenbleiben, ob die Vorinstanz diese Eingabe bereits als genügende Einsprache hätte entgegennehmen müssen und folglich weitere Abklärungen bzw. die Aufforderung zur Ergänzung der Eingabe hätten unterbleiben können. Denn auch nach der Ergänzung wäre die Vorinstanz entgegen ihrer Auffassung gehalten gewesen, auf die Einsprache einzutreten, wie im Folgenden zu zeigen ist:</w:t>
      </w:r>
    </w:p>
    <w:p>
      <w:r>
        <w:rPr>
          <w:b/>
        </w:rPr>
        <w:t>E. 6.1</w:t>
      </w:r>
    </w:p>
    <w:p>
      <w:r>
        <w:t>Die Vorinstanz beschloss nach Konsultation einer sprachenkundigen Person, weitere Abklärungen zu treffen (SAK-act. 205) und forderte den Beschwerdeführer mit E-Mail vom 14. Juni 2016 (und gleichzeitigem eingeschriebenen Schreiben vom 14. Juni 2016; SAK-act. 207) auf, er solle ihr mitteilen, ob es sich um eine Einsprache handle (SAK-act. 206). Falls ja, solle er mitteilen, gegen welche Verfügung sich diese Einsprache richte und aus welchen Gründen er diese erhebe. Sie fügte dabei an "Sollten wir nicht bis zum 24.6.2016 im Besitze Ihrer Antwort (per E-Mail) sein, würden wir auf Ihr Schreiben vom 22.3.2016 nicht als Einsprache eintreten.»</w:t>
      </w:r>
    </w:p>
    <w:p>
      <w:r>
        <w:rPr>
          <w:b/>
        </w:rPr>
        <w:t>E. 6.2</w:t>
      </w:r>
    </w:p>
    <w:p>
      <w:r>
        <w:t>Der Beschwerdeführer legte dem Bundesverwaltungsgericht eine E-Mail vom 18. Juni 2016 auf, adressiert Frau B._______ (E-Mail-Adresse: B._______@zas.admin.ch). Darin stellte er klar, dass sich seine Einsprache gegen den Ausschluss aus der freiwilligen Versicherung der AHV richte. Sinngemäss beantragte er dabei, weiterhin der freiwilligen Versicherung unterstellt zu sein und forderte eine entsprechende Überprüfung der Entscheidung der Vorinstanz. Als Grund führte er auf, dass das Bundesverwaltungsgericht entschieden haben soll, dass eine einmalige Zahlung von Fr. 936.60 bis zum Jahr 2013 notwendig sei, welche er auch geleistet habe. Deswegen habe er auch nicht die Rechnungen für die Jahre 2012 und 2013 beglichen (Anhang 6 zu BVGer-act. 1).</w:t>
      </w:r>
    </w:p>
    <w:p>
      <w:r>
        <w:rPr>
          <w:b/>
        </w:rPr>
        <w:t>E. 7.1</w:t>
      </w:r>
    </w:p>
    <w:p>
      <w:r>
        <w:t>Diese Eingabe erfüllt für sich alleine betrachtet alle inhaltlichen Voraussetzungen einer Einsprache. Die Vorinstanz macht jedoch geltend, sie habe diese E-Mail und damit die unter Androhung des Nichteintretens geforderte Einspracheergänzung nie erhalten. Es ist deshalb zu prüfen, wie diese nun aufgelegte E-Mail beweismässig zu würdigen ist.</w:t>
      </w:r>
    </w:p>
    <w:p>
      <w:r>
        <w:rPr>
          <w:b/>
        </w:rPr>
        <w:t>E. 7.2</w:t>
      </w:r>
    </w:p>
    <w:p>
      <w:r>
        <w:t>Grundsätzlich ist im Gegensatz zu anderen Rechtsbereichen im Sozialversicherungsrecht die elektronische Übermittlung von Schriftstücken nicht ausdrücklich vorgesehen. Gemäss Praxis des Bundesgerichts sind per E-Mail erhobene Einsprachen gegen Entscheide von Sozialversicherungsträgern nicht zulässig. Indes hat das Bundesgericht in BGE 145 V 90 E. 6.2.2 jüngst festgehalten, dass der Nachweis von Arbeitsbemühungen an das Regionale Arbeitsvermittlungszentrum anders als eine Einsprache keine Verfahrenshandlung darstellt und deshalb die Übermittlung per E-Mail zulässig ist. Jedoch hat der Absender mit Blick auf die mangelnde Zuverlässigkeit des elektronischen Verkehrs im Allgemeinen und die Schwierigkeiten beim Nachweis des Eingangs eines E-Mails im Besonderen zu beweisen, dass die Nachricht fristgerecht bei der Amtsstelle eingetroffen ist bzw. hat er die Folgen der Beweislosigkeit zu tragen. Im konkreten Fall erachtete es das Bundesgericht als erforderlich, dass sich der Absender den Empfang des elektronisch verschickten Nachweises seiner Arbeitsbemühungen bestätigen liess - und im Fall des Ausbleibens der Bestätigung - den postalischen Weg nutzte.</w:t>
      </w:r>
    </w:p>
    <w:p>
      <w:r>
        <w:rPr>
          <w:b/>
        </w:rPr>
        <w:t>E. 7.3</w:t>
      </w:r>
    </w:p>
    <w:p>
      <w:r>
        <w:t>Anders als im zitierten BGE handelt es sich bei der Einsprache bzw. bei der vorliegend in Frage stehenden Ergänzung und Vervollständigung der Einsprache um eine Verfahrenshandlung, von welcher die Verfahrensrechte des Beschwerdeführers abhängen - wurde ihm doch bei Nichtvornahme dieser Handlung das Nichteintreten angedroht - und deren Übermittlung per E-Mail so nicht zulässig ist. Gleichwohl hat die Vorinstanz den Beschwerdeführer ausdrücklich aufgefordert, per E-Mail zu antworten und somit die Einspracheergänzung per E-Mail vorzunehmen. Unter diesen besonderen Umständen hat gestützt auf das Vertrauensprinzip (BGE 126 V 313 E. 3 mit Hinweis auf BGE 125 III 259 E. 5.1) die vorgelegte E-Mail als rechtsgenüglich zu gelten, auch wenn Verfahrenshandlungen gemäss bundesgerichtlicher Rechtsprechung grundsätzlich die Schriftlichkeit verlangen.</w:t>
      </w:r>
    </w:p>
    <w:p>
      <w:r>
        <w:rPr>
          <w:b/>
        </w:rPr>
        <w:t>E. 7.4</w:t>
      </w:r>
    </w:p>
    <w:p>
      <w:r>
        <w:t>Die E-Mail vom 18. Juni 2016 ist somit als konform eingereichte Einspracheergänzung zur Eingabe vom 22. März 2016 zu qualifizieren, weswegen spätestens zu diesem Zeitpunkt alle materiellen und formellen Voraussetzungen für eine Einsprache erfüllt gewesen wären.</w:t>
      </w:r>
    </w:p>
    <w:p>
      <w:r>
        <w:rPr>
          <w:b/>
        </w:rPr>
        <w:t>E. 7.5</w:t>
      </w:r>
    </w:p>
    <w:p>
      <w:r>
        <w:t>Die Vorinstanz hat daher auf die Einsprache vom 22. März 2016 in Berücksichtigung der Einspracheergänzung vom 18. Juni 2016 einzutreten. Gestützt auf die Ergebnisse ihrer Abklärungen hat die Vorinstanz einen neuen Einspracheentscheid zu erlassen.</w:t>
      </w:r>
    </w:p>
    <w:p>
      <w:r>
        <w:rPr>
          <w:b/>
        </w:rPr>
        <w:t>E. 8</w:t>
      </w:r>
    </w:p>
    <w:p>
      <w:r>
        <w:t>Zusammenfassend ist festzuhalten, dass sich die Beschwerde als begründet erweist und der angefochtene Nichteintretensentscheid aufzuheben ist.</w:t>
      </w:r>
    </w:p>
    <w:p>
      <w:r>
        <w:rPr>
          <w:b/>
        </w:rPr>
        <w:t>E. 9</w:t>
      </w:r>
    </w:p>
    <w:p>
      <w:r>
        <w:t>Das Verfahren ist kostenlos (Art. 85bis Abs. 2 erster Satz AHVG). Dem nicht vertretenen Beschwerdeführer ist keine Parteientschädigung zuzusprechen (Art. 7 Abs. 4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