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C-7451/2006 vom 17. Dezember 2007</w:t>
      </w:r>
    </w:p>
    <w:p>
      <w:r>
        <w:t>Bundesverwaltungsgericht, 2007-12-17, FR</w:t>
      </w:r>
    </w:p>
    <w:p>
      <w:r>
        <w:rPr>
          <w:b/>
        </w:rPr>
        <w:t xml:space="preserve">Quelle: </w:t>
      </w:r>
      <w:r>
        <w:t>https://mcp.opencaselaw.ch/entscheid/bvger_C-7451_2006</w:t>
      </w:r>
    </w:p>
    <w:p>
      <w:r>
        <w:t>FR: TAF C-7451/2006 du 17 décembre 2007</w:t>
      </w:r>
    </w:p>
    <w:p>
      <w:r>
        <w:t>IT: TAF C-7451/2006 del 17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LSEE.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 par la décision entreprise, a qualité pour recourir (cf. art. 48 al. 1 PA). Son recours, présenté dans la forme et les délais prescrits par la loi, est recevable (cf. art. 50 et art.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ce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4.1</w:t>
      </w:r>
    </w:p>
    <w:p>
      <w:r>
        <w:t>En l'espèce, A._______ a fondé sa demande d'autorisation de séjour durable pour cas de rigueur sur le fait qu'il souhaite s'établir en Suisse pour s'occuper de son fils D._______, qui a connu une adolescence perturbée avec des difficultés scolaires et des problèmes de délinquance juvenile et qui a besoin de son soutien et d'un encadrement paternel. Il indique qu'il n'a pas le droit de garde sur D._______ et qu'il n'a pas l'intention de vivre avec la mère de celui-ci, tout en précisant que C._______ a déposé une requête, le 22 décembre 2006, au Tribunal tutélaire dans l'intention de partager l'autorité parentale et la garde de D._______ avec lui.</w:t>
      </w:r>
    </w:p>
    <w:p>
      <w:r>
        <w:rPr>
          <w:b/>
        </w:rPr>
        <w:t>E. 4.2</w:t>
      </w:r>
    </w:p>
    <w:p>
      <w:r>
        <w:t>Le recourant invoque ainsi l'application de l'art. 8 CEDH à l'égard de son fils vivant en Suisse au bénéfice d'une autorisation d'établissement. Un étranger peut, selon les circonstances, se prévaloir du droit au respect de sa vie privée et familiale au sens de la disposition conventionnelle précitée pour s'opposer à une éventuelle séparation de sa famille et obtenir ainsi une autorisation de séjour s'il peut invoquer une relation avec une personne de cette famille disposant d'un droit de s'établir en Suisse et que cette relation soit étroite et effective (ATF 130 II 281 consid. 3.1, 129 II 193 consid. 5.3.1). Les relations visées par l'art. 8 CEDH sont avant tout celles qui existent entre époux, ainsi que les relations entre parents et enfants mineurs vivant en ménage commun (ATF 120 Ib 257 consid. 1d). La question de savoir si, dans un cas particulier, les autorités de police des étrangers sont tenues d'accorder une autorisation de séjour fondée sur l'art. 8 CEDH doit être résolue sur la base d'une pesée de tous les intérêts publics et privés en présence (ATF 122 II 1 consid. 2, 120 Ib 22 consid. 4a). Il faut qu'il existe des liens familiaux particulièrement forts dans les domaines affectif et économique pour que l'intérêt public à une politique restrictive en matière de séjour des étrangers et d'immigration passe au second plan (ATF 120 Ib 1 consid. 3c). Toutefois, selon la jurisprudence du Tribunal fédéral, l'art. 8 CEDH n'a pas une portée directe dans la procédure relative à l'assujettissement aux mesures de limitation, puisque cette procédure ne porte pas sur le droit de séjourner en Suisse (cf. arrêts du Tribunal fédéral 2A.614/2005 du 20 janvier 2006 consid. 4.2.1 et arrêts cités, 2A.490/1999 du 25 août 2000 consid. 3a). Ainsi, le fait qu'un étranger peut se prévaloir du droit au respect de la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(cf. arrêt du Tribunal fédéral 2A.83/2007 du 16 mai 2007 consid. 3.2 et jurisprudence citée).</w:t>
      </w:r>
    </w:p>
    <w:p>
      <w:r>
        <w:rPr>
          <w:b/>
        </w:rPr>
        <w:t>E. 4.3</w:t>
      </w:r>
    </w:p>
    <w:p>
      <w:r>
        <w:t>En ce qui concerne l'intérêt privé à l'octroi d'une exception aux mesures de limitation, il faut relever qu'un droit de visite peut en principe être exercé même si le parent intéressé vit à l'étranger, au besoin en aménageant les modalités de ce droit pour ce qui touche à sa fréquence et à sa durée (cf. arrêt du Tribunal fédéral 2A.83/2007 du 16 mai 2007 consid. 3.2 et jurisprudence citée, 2A.617/2004 du 11 février 2005 consid. 3.2). En l'espèce, il est constant que les relations entre le recourant et son fils ne sont pas particulièrement étroites. Il sied d'abord de relever que depuis la naissance de D._______ le 7 janvier 1990, A._______ n'a jamais vécu avec son fils, ni avec la mère de l'enfant, qui était mineure au moment de la conception et de la naissance de D._______ et qui est ainsi allée vivre chez ses parents. Bien que C._______ fut depuis devenue majeure, les intéressés ne se sont pas mariés, chacun ayant, au fil du temps, refait sa vie de son coté (cf. déclarations de A._______ du 1er juin 2005, dossier cantonal). Même si A._______ a maintenu un contact avec D._______, soit à l'occasion de séjours illégaux en Suisse, soit alors qu'il était en possession de visas pour un séjour de visite, en particulier depuis le mois de mars 1998, et qu'il est toujours resté en contact téléphonique avec son fils toutes les deux à trois semaines environ, il n'apparaît pas avoir été capable d'apporter durablement un réel soutien, ni un encadrement paternel à ce dernier. En effet, d'une part, C._______, devenue mère alors qu'elle était encore une jeune mineure, a dû élever son fils en comptant essentiellement sur l'aide de ses propres parents et de sa famille (cf. courriers, notice d'entretien téléphonique et déclarations de C._______ des 11 juin 2003, 27 février 2004, 16 mars 2004, 6 septembre 2004, 24 février 2005, dossier cantonal). D'autre part, bien que A._______ ne cesse d'affirmer dans ses écritures à l'ODM du 4 septembre 2006 et son recours du 22 décembre 2006 que sa présence auprès de son fils est indispensable pour le bon développement de celui-ci et que C._______, connaissant des problèmes de santé, a déposé le 22 décembre 2006 au Tribunal tutélaire de Genève une requête pour que l'autorité parentale et la garde de D._______ soit partagée avec lui, force est de constater que A._______ n'a cessé de quitter la Suisse alors qu'il était censé s'y trouver parce que sa présence y était indispensable. C'est ainsi qu'il a sollicité et obtenu de l'OCP-GE, le 29 juin 2005, un visa de retour d'une durée de trois mois pour retourner au Pérou. Le 19 décembre 2005, il a sollicité à nouveau et obtenu un visa de retour d'une durée de trois mois, valable jusqu'au 18 mars 2006, mais ce n'est toutefois qu'en août 2006 qu'il est revenu en Suisse, pour quitter à nouveau Genève pour le Pérou à la mi-janvier 2007. Ayant une nouvelle fois dépassé la durée de validité du visa de retour octroyé, il a déposé à Lima le 21 juillet 2007, soit plus de six mois plus tard, une demande d'entrée pour un séjour de visite de trois mois à Genève. Au vu de ce qui précède, A._______ semble ainsi tiraillé entre son souhait de veiller à l'éducation de son fils et son besoin de retourner dans son pays. C'est toutefois cette dernière nécessité qui semble l'emporter au vu du nombre et de la longueur des séjours effectués au Pérou depuis l'été 2005. Dans ce contexte, il faut encore relever que D._______ est actuellement âgé de plus de dix-sept ans et qu'il sera très prochainement majeur, de sorte que ses relations avec son père vont, par la force des choses, se distendre encore d'avantage à l'avenir. Ainsi, le Tribunal est d'avis que la seule existence du lien familial tel qu'il existe actuellement est insuffisante pour entraîner une exception aux mesures de limitation du nombre des étrangers, compte tenu des circonstances relevées plus haut. Certes, eu égard à l'éloignement de son pays d'origine, il est indéniable que le maintien des liens entre le recourant est son fils sera plus difficile et onéreux, mais cette circonstance seule ne suffit pas, selon la jurisprudence, à faire admettre l'existence d'un cas personnel d'extrême gravité (cf. arrêt précité 2A.83/2007 consid. 4.2). Par ailleurs, le recourant ne peut pas se prévaloir d'une intégration sociale et professionnelle en Suisse particulièrement bonne.</w:t>
      </w:r>
    </w:p>
    <w:p>
      <w:r>
        <w:rPr>
          <w:b/>
        </w:rPr>
        <w:t>E. 4.4</w:t>
      </w:r>
    </w:p>
    <w:p>
      <w:r>
        <w:t>A titre superfétatoire, le TAF constate que le Tribunal tutélaire de Genève a classé la requête de C._______ du 22 décembre 2006 demandant que l'autorité parentale et la garde de D._______ soient partagées avec son père. Ce classement résulte du fait que la prénommée n'a donné aucune suite aux différents courriers que lui a adressé le Tribunal tutélaire. Sur ce plan également, les arguments amenés à l'appui du recours ne peuvent être suivis.</w:t>
      </w:r>
    </w:p>
    <w:p>
      <w:r>
        <w:rPr>
          <w:b/>
        </w:rPr>
        <w:t>E. 4.5</w:t>
      </w:r>
    </w:p>
    <w:p>
      <w:r>
        <w:t>En conséquence, l'examen de l'ensemble des éléments de la présente cause amène le Tribunal à la conclusion que A._______ ne se trouve pas dans une situation d'extrême gravité au sens de l'art. 13 let. f OLE et que c'est à bon droit que l'autorité intimée a écarté sa requête.</w:t>
      </w:r>
    </w:p>
    <w:p>
      <w:r>
        <w:rPr>
          <w:b/>
        </w:rPr>
        <w:t>E. 5.1</w:t>
      </w:r>
    </w:p>
    <w:p>
      <w:r>
        <w:t>Compte tenu des considérants exposés ci-dessus, il appert que, par sa décision du 14 novembre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