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C-7442/2009 vom 11. Januar 2012</w:t>
      </w:r>
    </w:p>
    <w:p>
      <w:r>
        <w:t>Bundesverwaltungsgericht, 2012-01-11, DE</w:t>
      </w:r>
    </w:p>
    <w:p>
      <w:r>
        <w:rPr>
          <w:b/>
        </w:rPr>
        <w:t xml:space="preserve">Quelle: </w:t>
      </w:r>
      <w:r>
        <w:t>https://mcp.opencaselaw.ch/entscheid/bvger_C-7442_2009</w:t>
      </w:r>
    </w:p>
    <w:p>
      <w:r>
        <w:t>FR: TAF C-7442/2009 du 11 janvier 2012</w:t>
      </w:r>
    </w:p>
    <w:p>
      <w:r>
        <w:t>IT: TAF C-7442/2009 del 11 gennaio 2012</w:t>
      </w:r>
    </w:p>
    <w:p>
      <w:pPr>
        <w:pStyle w:val="Heading2"/>
      </w:pPr>
      <w:r>
        <w:t>Regeste</w:t>
      </w:r>
    </w:p>
    <w:p>
      <w:r>
        <w:t>Rente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Ausgleichskasse (SAK) ist eine Vorinstanz im Sinne von Art. 33 Bst. d VGG. Die Zuständigkeit des Bundesverwaltungsgerichts zur Beur­tei­lung von Beschwerden von Personen im Ausland im Bereich der Alters- und Hinterlassenenversicherung ist zudem in Art. 85bis Abs. 1 des Bundesgesetzes vom 20. Dezember 1946 über die Alters- und Hinterlassenenversicherung (AHVG, SR 831.10) aus­drücklich vorge­sehen. Angefochten ist ein Einspracheentscheid der SAK, welcher zweifellos eine Verfügung im Sinne von Art. 5 VwVG darstellt.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 des die Einsprache abweisenden Entscheides ist der Beschwerdeführer davon berührt und er hat ein schutzwürdiges Interesse an deren Aufhebung oder Ände­rung (Art. 59 ATSG). Die Beschwerde wurde fristgerecht und formgerecht (vgl. Art. 38 ff. und Art. 60 ATSG, Art. 52 VwVG) eingereicht, weshalb darauf einzutreten ist.</w:t>
      </w:r>
    </w:p>
    <w:p>
      <w:r>
        <w:rPr>
          <w:b/>
        </w:rPr>
        <w:t>E. 3</w:t>
      </w:r>
    </w:p>
    <w:p>
      <w:r>
        <w:t>Der Beschwerdeführer rügt insbesondere, die SAK habe sich mit seinem Vorbringen, dass mehrere Amtsstellen falsche Auskünfte erteilt hätten, nicht auseinandergesetzt.</w:t>
      </w:r>
    </w:p>
    <w:p>
      <w:r>
        <w:rPr>
          <w:b/>
        </w:rPr>
        <w:t>E. 3.1</w:t>
      </w:r>
    </w:p>
    <w:p>
      <w:r>
        <w:t>Einspracheentscheide sind gemäss Art. 52 Abs. 3 ATSG zu begründen. Die einer Behörde obliegende Begründungspflicht fliesst aus dem verfassungsmässigen Anspruch auf rechtliches Gehör (Art. 29 Abs. 2 der Bundesverfassung der Schweizerischen Eidgenossenschaft vom 18. April 1999 [BV, SR 101]).</w:t>
      </w:r>
    </w:p>
    <w:p>
      <w:r>
        <w:rPr>
          <w:b/>
        </w:rPr>
        <w:t>E. 3.1.1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w:t>
      </w:r>
    </w:p>
    <w:p>
      <w:r>
        <w:rPr>
          <w:b/>
        </w:rPr>
        <w:t>E. 3.1.2</w:t>
      </w:r>
    </w:p>
    <w:p>
      <w:r>
        <w:t>Die Behörde hat die Vorbringen der vom Entscheid in seiner Rechtsstellung betroffenen Person auch tatsächlich zu hören, zu prüfen und in der Entscheidfindung zu berücksichtigen. Daraus folgt die Verpflichtung,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mit Hinweisen).</w:t>
      </w:r>
    </w:p>
    <w:p>
      <w:r>
        <w:rPr>
          <w:b/>
        </w:rPr>
        <w:t>E. 3.1.3</w:t>
      </w:r>
    </w:p>
    <w:p>
      <w:r>
        <w:t>Der Anspruch auf rechtliches Gehör ist formeller Natur. Dessen Verletzung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w:t>
      </w:r>
    </w:p>
    <w:p>
      <w:r>
        <w:rPr>
          <w:b/>
        </w:rPr>
        <w:t>E. 3.1.4</w:t>
      </w:r>
    </w:p>
    <w:p>
      <w:r>
        <w:t>Eine Gehörsverletzung kann das angerufene Gericht nicht nur aufgrund von Parteivorbringen, sondern auch von Amtes wegen prüfen (BGE 116 V 182 E. 1a, BGE 120 V 357 E. 2a).</w:t>
      </w:r>
    </w:p>
    <w:p>
      <w:r>
        <w:rPr>
          <w:b/>
        </w:rPr>
        <w:t>E. 3.2</w:t>
      </w:r>
    </w:p>
    <w:p>
      <w:r>
        <w:t>Der Beschwerdeführer rügt zu Recht, die Vorinstanz habe sich mit seinen Einwänden nicht auseinandergesetzt. Im Einspracheentscheid wird zum Vorbringen betreffend falscher Auskünfte lediglich ausgeführt: "Die Frage stellt sich nun, welche Möglichkeiten Sie sonst gehabt hätten? Ausser der Vollzeit-Weiterführung der Arbeit in der Schweiz oder der Wohnsitznahme in einem Land ausserhalb der EU sehen wir keine weitere Alternative." Dass damit eine der Voraussetzungen für eine Bindung der Behörden an unrichtige Auskünfte (vgl. nachfolgende E. 4.1) angesprochen wurde, dürfte für den - nicht anwaltlich vertretenen - Beschwerdeführer kaum deutlich geworden sein, weshalb eine sachgerechte Anfechtung des Entscheides diesbezüglich nicht möglich war. Nicht eingegangen wird sodann auf die Frage, ob die Übergangsrente zu Recht als nicht AHV-pflichtig qualifiziert worden sei. Der Einspracheentscheid erfüllt aber auch sonst die grundlegenden Begründungsanforderungen nicht, weil daraus nicht hervorgeht, auf welche gesetzlichen Grundlagen sich der Entscheid stützt, mithin weshalb die von der Ehefrau geleisteten Beiträge nicht angerechnet werden können. Da die einspracheweise angefochtene rentenzusprechende Verfügung überhaupt keine Angaben dazu enthält, weshalb nach der vorzeitigen Pensionierung (fast) keine Beitragszeiten angerechnet wurden, wäre dies spätestens im Einspracheverfahren nachzuholen gewesen. Zudem hat der Beschwerdeführer offenbar nach Erhalt der Verfügung mehrmals mit der Sachbearbeiterin der SAK telefonisch Kontakt aufgenommen (eine entsprechende Aktennotiz liegt jedoch nicht bei den Akten), um eine Begründung für die Nichtanrechnung von Beitragszeiten zu erhalten.</w:t>
      </w:r>
    </w:p>
    <w:p>
      <w:r>
        <w:rPr>
          <w:b/>
        </w:rPr>
        <w:t>E. 3.3</w:t>
      </w:r>
    </w:p>
    <w:p>
      <w:r>
        <w:t>Hätte sich die Vorinstanz mit den Einwänden des Beschwerdeführers tatsächlich auseinandergesetzt, hätte sie auch feststellen können bzw. müssen, dass verschiedene entscheidwesentliche Fragen weiter abzuklären gewesen wären (vgl. nachfolgende E. 4). Insofern liegt nicht nur eine Verletzung des Anspruchs auf rechtliches Gehör, sondern auch eine Verletzung des Untersuchungsgrundsatzes (Art. 43 Abs. 1 ATSG) vor. Anzufügen bleibt, dass die Akten offensichtlich unvollständig sind (zur Aktenführungspflicht vgl. Art. 46 ATSG, Urteil BGer 8C_319/2010 vom 15. Dezember 2010 E. 2.2 mit Hinweisen). Es fehlen bspw. die Schreiben der SAK vom 28. April 2009 (vgl. SAK-act. 4) und vom 4. Juni 2009 (SAK-act. 5) sowie Korrespondenz und Unterlagen im Zusammenhang mit dem vom Beschwerdeführer im August 2009 angeforderten Auszug aus dem individuellen Konto (vgl. SAK-act. 6). Eine ausnahmsweise Heilung der Gehörsverletzung fällt vor diesem Hintergrund nicht in Betracht.</w:t>
      </w:r>
    </w:p>
    <w:p>
      <w:r>
        <w:rPr>
          <w:b/>
        </w:rPr>
        <w:t>E. 4</w:t>
      </w:r>
    </w:p>
    <w:p>
      <w:r>
        <w:t>Der angefochtene Entscheid ist daher aufzuheben und die Sache ist an die Vorinstanz zur Durchführung eines rechtskonformen Einspracheverfahrens zurückzuweisen. Dabei wird die Verwaltung Folgendes zu beachten haben.</w:t>
      </w:r>
    </w:p>
    <w:p>
      <w:r>
        <w:rPr>
          <w:b/>
        </w:rPr>
        <w:t>E. 4.1</w:t>
      </w:r>
    </w:p>
    <w:p>
      <w:r>
        <w:t>Abgeleitet aus dem Grundsatz von Treu und Glauben (Art. 9 der Bundesverfassung der Schweizerischen Eidgenossenschaft vom 18. April 1999 [BV, SR 101]),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131 II 627 E. 6.1, BGE 129 I 161 E. 4.1, BGE 121 V 65 E. 2a, Urteil BGer 8C_542/2007 vom 14. April 2008 E. 3, je mit Hinweisen). Das Vertrauensprinzip gilt nicht nur dann, wenn der Bürger Dispositionen getroffen hat, die nicht ohne Nachteil rückgängig gemacht werden können, sondern auch, wenn er im Vertrauen auf die Richtigkeit einer behördlichen Auskunft oder Anordnung es unterlassen hat, Dispositionen zu treffen, die nicht mit dem früher möglichen Erfolg nachgeholt werden können (BGE 111 V 65 E. 4c, Urteil EVG H 313/98 vom 4. Mai 2000 E. 7a, vgl. auch BGE 121 V 65 E. 2.b).</w:t>
      </w:r>
    </w:p>
    <w:p>
      <w:r>
        <w:rPr>
          <w:b/>
        </w:rPr>
        <w:t>E. 4.2</w:t>
      </w:r>
    </w:p>
    <w:p>
      <w:r>
        <w:t>Aus der Aktennotiz der SAK vom 28. September 2007 geht hervor, dass sich die Ehefrau des Beschwerdeführers u.a. danach erkundigte, wie ihr Ehemann bei der Anmeldung zum Rentenbezug vorzugehen habe. Festgehalten wird, dass beide Ehegatten in Deutschland wohnen und in der Schweiz arbeiten bzw. arbeiteten. Er arbeite nun nicht mehr und möchte wissen, wie er sich versichern könne. Da die Ehefrau noch in der Schweiz arbeite, verweise sie (die Sachbearbeiterin) sie (die Versicherte) an die AK, bei der sie selbst Beiträge leiste. Sie gebe ihr "die Artikelnr. des AHV-Gesetzes", damit sie allenfalls diese bei der AK erwähnen könne (SAK-act. 1). Die von der Sachbearbeiterin als massgebend erachtete Bestimmung wird nicht aufgeführt. Nach Angaben des Beschwerdeführers bzw. laut Aktennotiz seiner Ehefrau vom 27. September 2007 handelt es sich um Art. 1a Abs. 4 Bst. c AHVG.</w:t>
      </w:r>
    </w:p>
    <w:p>
      <w:r>
        <w:rPr>
          <w:b/>
        </w:rPr>
        <w:t>E. 4.2.1</w:t>
      </w:r>
    </w:p>
    <w:p>
      <w:r>
        <w:t>Gemäss Art. 1a Abs. 4 Bst. c AHVG können im Ausland wohnhafte nicht erwerbstätige Ehegatten von erwerbstätigen Personen, die nach Abs. 1 Bst. c, Abs. 3 Bst. a oder auf Grund einer zwischenstaatlichen Vereinbarung versichert sind, der obligatorischen Versicherung beitreten. In diesen Fällen wäre tatsächlich die Ausgleichskasse des erwerbstätigen Ehegatten zuständig (vgl. Art. 64 Abs. 3bis AHVG, Art. 118 Abs. 1 der Verordnung vom 31. Oktober 1947 über die Alters- und Hinterlassenenversicherung [AHVV, SR 831.101], Wegleitung über die Versicherungspflicht in der AHV/IV [WVP] des Bundesamtes für Sozialversicherungen [BSV], gültig ab 1. Januar 2009, Rz. 4065). Ein Beitritt gemäss Art. 1a Abs. 4 Bst. c AHVG kommt indessen nur in Frage, wenn der erwerbstätige Ehegatte im Ausland tätig ist (vgl. Art. 1a Abs. 1 Bst. c und Abs. 3 Bst. a AHVG sowie Titel vor Art. 5j AHVV). Die Auskunft der SAK-Mitarbeiterin war demnach unrichtig. Da aber aufgrund dieser Aussage noch eine Beitrittserklärung gegenüber der zuständigen Ausgleichskasse hätte erfolgen müssen, kann allein diese unrichtige Auskunft nicht kausal für das Unterlassen von allfälligen Dispositionen sein.</w:t>
      </w:r>
    </w:p>
    <w:p>
      <w:r>
        <w:rPr>
          <w:b/>
        </w:rPr>
        <w:t>E. 4.2.2</w:t>
      </w:r>
    </w:p>
    <w:p>
      <w:r>
        <w:t>Der Beschwerdeführer hat bereits in seiner Einsprache geltend gemacht, nach dem Telefongespräch mit der SAK habe seine Ehegattin von der AK SH (Frau B._______) die Auskunft erhalten, der Ehepartner sei automatisch mitversichert, falls die Ehefrau mehr als den doppelten Mindestbeitrag bezahle, weshalb nichts vorzukehren sei. Im Beschwerdeverfahren hat er dazu auch eine Aktennotiz seiner Ehefrau vom 27. September 2007 eingereicht. Obwohl sich der Beschwerdeführer damit nur auf eine telefonische Auskunft beruft, sind die Angaben soweit konkret (Datum und Name der Sachbearbeiterin), dass die Vorinstanz nicht ohne weiteres darüber hinweggehen durfte. Der Aktennotiz lässt sich jedoch nicht entnehmen, ob die Auskunft bezogen auf die individuell konkrete Situation des Beschwerdeführers erteilt wurde. Da der Ehefrau aufgrund der eingeholten Auskunft der Unterschied zwischen Versicherteneigenschaft (Art. 1a und Art. 2 Abs. 1 AHVG) und Beitragspflicht (Art. 3 AHVG) offensichtlich noch nicht klar geworden war, wären weitere Abklärungen jedenfalls erforderlich gewesen.</w:t>
      </w:r>
    </w:p>
    <w:p>
      <w:r>
        <w:rPr>
          <w:b/>
        </w:rPr>
        <w:t>E. 4.3</w:t>
      </w:r>
    </w:p>
    <w:p>
      <w:r>
        <w:t>Sind die Voraussetzungen (des Schutzes des Vertrauens in eine behördliche Auskunft) gemäss E. 4.1 nicht erfüllt, wird die Vorinstanz auch zu prüfen haben, ob sie (oder die AK SH) ihrer Beratungspflicht nachgekommen ist. Denn nach der Rechtsprechung ist die Unterlassung einer behördlichen Auskunft, welche gesetzlich vorgeschrieben oder nach den im Einzelfall gegebenen Umständen geboten war, einer unrichtigen Auskunft gleichgestellt (BGE 131 V 472 E. 5). Die dritte Voraussetzung lautet diesfalls: wenn die Person den Inhalt der unterbliebenen Auskunft nicht kannte oder deren Inhalt so selbstverständlich war, dass sie mit einer anderen Auskunft nicht hätte rechnen müssen (Urteil BGer 8C_784/2008 11. September 2009 E. 5.2, BGE 131 V 472 E. 5).</w:t>
      </w:r>
    </w:p>
    <w:p>
      <w:r>
        <w:rPr>
          <w:b/>
        </w:rPr>
        <w:t>E. 4.3.1</w:t>
      </w:r>
    </w:p>
    <w:p>
      <w:r>
        <w:t>Gemäss Art. 27 Abs. 2 ATSG hat jede Person Anspruch auf grundsätzlich unentgeltliche Beratung über ihre Rechte und Pflichten. Dafür zuständig sind die Versicherungsträger, denen gegenüber die Rechte geltend zu machen oder die Pflichten zu erfüllen sind.</w:t>
      </w:r>
    </w:p>
    <w:p>
      <w:r>
        <w:rPr>
          <w:b/>
        </w:rPr>
        <w:t>E. 4.3.2</w:t>
      </w:r>
    </w:p>
    <w:p>
      <w:r>
        <w:t>Sinn und Zweck der Beratungspflicht ist, die betreffende Person in die Lage zu versetzen, sich so zu verhalten, dass eine den gesetzgeberischen Zielen des jeweiligen Erlasses entsprechende Rechtsfolge eintritt. Die Beratungspflicht nach Art. 27 Abs. 2 ATSG besteht nicht voraussetzungslos. Es muss ein hinreichender Anlass zur Information gegeben sein, was etwa dann der Fall ist, wenn für den zuständigen Versicherungsträger bei einem durchschnittlichen Mass an Aufmerksamkeit erkennbar die versicherte Person durch ein bestimmtes Verhalten (Handeln oder Unterlassen) Leistungsansprüche zu gefährden vermag. Schliesslich kann nicht erwartet werden, dass Informationen abgegeben werden, die als allgemein bekannt vorausgesetzt werden dürfen. Allgemein ist auch von den Versicherten ein Minimum an Aufmerksamkeit und Mitdenken im Sinne der Betätigung des gesunden Menschenverstandes zu verlangen, sei es in einem laufenden Verfahren, sei es zur Wahrung später entstehender Leistungsansprüche wie etwa betreffend Beitragspflicht und Beitragsbezug im Hinblick auf die Altersrente der AHV (zum Ganzen: Urteil BGer 9C_1005/2008 vom 5. März 2009 E. 3.2.2 mit Hinweisen, siehe auch BGE 131 V 472, BGE 133 V 257).</w:t>
      </w:r>
    </w:p>
    <w:p>
      <w:r>
        <w:rPr>
          <w:b/>
        </w:rPr>
        <w:t>E. 4.3.3</w:t>
      </w:r>
    </w:p>
    <w:p>
      <w:r>
        <w:t>Dem Beschwerdeführer war offensichtlich bewusst, dass sich Beitragslücken erheblich auf seinen zukünftigen Rentenanspruch auswirken werden und erkundigte sich deshalb bei der SAK, wie er sich weiterhin versichern könne. Die grundlegende Information, dass grundsätzlich nur die natürlichen Personen mit Wohnsitz in der Schweiz und die natürlichen Personen, die in der Schweiz eine Erwerbstätigkeit ausüben, obligatorisch versichert sind (Art. 1a Abs. 1 Bst. a und b AHVG), hat er nicht erhalten.</w:t>
      </w:r>
    </w:p>
    <w:p>
      <w:r>
        <w:rPr>
          <w:b/>
        </w:rPr>
        <w:t>E. 4.3.4</w:t>
      </w:r>
    </w:p>
    <w:p>
      <w:r>
        <w:t>Ob der Beschwerdeführer bei hinreichender Information und Beratung sich dazu entschieden hätte, in der Schweiz Wohnsitz zu nehmen oder wieder eine (evtl. Teilzeit-)Erwerbstätigkeit aufzunehmen, kann aufgrund der Akten nicht beurteilt werden. Da er aber im Jahr 2008 nochmals bei seinem ehemaligen Arbeitgeber tätig war (vgl. IK-Auszug, Beilage zu act. 5) und von April 1970 bis 1. Februar 1971 in der Schweiz Wohnsitz hatte (vgl. act. 3 [E 207]), erscheinen solche Vorkehren durchaus möglich.</w:t>
      </w:r>
    </w:p>
    <w:p>
      <w:r>
        <w:rPr>
          <w:b/>
        </w:rPr>
        <w:t>E. 4.3.5</w:t>
      </w:r>
    </w:p>
    <w:p>
      <w:r>
        <w:t>Gemäss bundesgerichtlicher Rechtsprechung werden an den Beweis des Kausalzusammenhangs zwischen Auskunft und Disposition nicht allzu strenge Voraussetzungen gestellt. Denn bereits aus dem Umstand, dass eine versicherte Person Erkundigungen einholt, erwächst eine natürliche Vermutung dafür, dass sie im Falle einer korrekten Information ein anderes Vorgehen gewählt hätte. Der erforderliche Kausalitätsbeweis darf deshalb schon als geleistet gelten, wenn es aufgrund der allgemeinen Lebenserfahrung und in Würdigung der gesamten Umstände als glaubhaft erscheint, dass sich die versicherte Person ohne die fragliche Auskunft anders verhalten hätte (vgl. BGE 121 V 65 E. 2.b).</w:t>
      </w:r>
    </w:p>
    <w:p>
      <w:r>
        <w:rPr>
          <w:b/>
        </w:rPr>
        <w:t>E. 4.4</w:t>
      </w:r>
    </w:p>
    <w:p>
      <w:r>
        <w:t>Schliesslich wird die Vorinstanz - zusammen mit der AK SH - auch zu prüfen haben, ob auf die vom Beschwerdeführer bezogene Übergangsrente zu Unrecht keine Beiträge erhoben wurden.</w:t>
      </w:r>
    </w:p>
    <w:p>
      <w:r>
        <w:rPr>
          <w:b/>
        </w:rPr>
        <w:t>E. 4.4.1</w:t>
      </w:r>
    </w:p>
    <w:p>
      <w:r>
        <w:t>Die vom Beschwerdeführer erwähnte Vereinbarung "Übergangsrente" vom 1. Oktober 2007 (vgl. SAK-act. 9, act. 5) ist nicht in den Akten. Gemäss Einsprache lehnt sich die Regelung der Stiftung an das Übergangsdekret des Kantons Schaffhausen (ÜDR) vom 18. September 1995 (Rechtsbuch Kanton Schaffhausen, 180.130) an. Gemäss § 4 Abs. 1 ÜDR werden die Kosten der Übergangsrenten grundsätzlich vom Kanton - also vom Arbeitgeber, nicht von der Vorsorgeeinrichtung - getragen.</w:t>
      </w:r>
    </w:p>
    <w:p>
      <w:r>
        <w:rPr>
          <w:b/>
        </w:rPr>
        <w:t>E. 4.4.2</w:t>
      </w:r>
    </w:p>
    <w:p>
      <w:r>
        <w:t>Bei unselbständig erwerbstätigen Versicherten wird das Einkommen, auf welchem Beiträge erhoben werden, massgebender Lohn genannt (Art. 5 Abs. 1 AHVG). Als massgebender Lohn gilt gemäss Art. 5 Abs. 2 AHVG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Nach Art. 5 Abs. 4 AHVG kann der Bundesrat Sozialleistungen sowie anlässlich besonderer Ereignisse erfolgende Zuwendungen eines Arbeitgebers an seine Arbeitnehmer vom Einbezug in den massgebenden Lohn ausnehmen.</w:t>
      </w:r>
    </w:p>
    <w:p>
      <w:r>
        <w:rPr>
          <w:b/>
        </w:rPr>
        <w:t>E. 4.4.3</w:t>
      </w:r>
    </w:p>
    <w:p>
      <w:r>
        <w:t>Gemäss Art. 7 Bst. q AHVV (in der vom 1. Januar 2001 bis 31. Dezember 2007 gültigen Fassung [AS 2000 2629]) gehören auch Leistungen des Arbeitgebers bei Beendigung des Arbeitsverhältnisses, soweit sie nicht im Sinne von Art. 8ter vom massgebenden Lohn ausgenommen sind, zum massgebenden Lohn. Art. 8ter AHVV (in der vom 1. Januar 2001 bis 31. Dezember 2007 gültigen Fassung [AS 2000 2629]) trug den Titel Sozialleistungen bei Beendigung des Arbeitsverhältnisses und sah u.a. vor, dass Leistungen im Rahmen einer Vorruhestandsregelung des Arbeitgebers, soweit sie acht Monatslöhne nicht übersteigen, nicht zum massgebenden Lohn gehören (vgl. dazu auch BGE 133 V 153). Renten waren gemäss Abs. 3 nach den Tabellen des Bundesamtes in Kapital umzurechnen.</w:t>
      </w:r>
    </w:p>
    <w:p>
      <w:r>
        <w:rPr>
          <w:b/>
        </w:rPr>
        <w:t>E. 4.4.4</w:t>
      </w:r>
    </w:p>
    <w:p>
      <w:r>
        <w:t>Nach der seit 1. Januar 2008 gültigen Fassung von Art. 7 Bst. q AHVV gehören Leistungen des Arbeitgebers bei Beendigung des Arbeitsverhältnisses zum massgebenden Lohn, soweit sie nicht gemäss Art. 8bis oder 8ter AHVV davon ausgenommen sind. Art. 8bis AHVV betrifft Sozialleistungen bei ungenügender beruflicher Vorsorge, Art. 8ter AHVV Sozialleistungen bei Entlassungen aus betrieblichen Gründen. Tritt eine versicherte Person freiwillig vorzeitig in den Ruhestand, sind Leistungen des Arbeitgebers seit dem 1. Januar 2008 demnach nicht mehr (soweit sie acht Monatslöhne nicht übersteigen) vom massgebenden Lohn ausgenommen. Laut Abs. 1 der Schlussbestimmung der Änderung vom 17. Oktober 2007 finden Art. 8bis und 8ter AHVV Anwendung auf die ab Inkrafttreten dieser Änderung ausbezahlten Sozialleistungen, auf denen zu diesem Zeitpunkt noch keine Beiträge erhoben worden sind.</w:t>
      </w:r>
    </w:p>
    <w:p>
      <w:r>
        <w:rPr>
          <w:b/>
        </w:rPr>
        <w:t>E. 4.4.5</w:t>
      </w:r>
    </w:p>
    <w:p>
      <w:r>
        <w:t>Der Beschwerdeführer ist jedoch darauf hinzuweisen, dass die Antwort auf die Frage, ob bzw. in welchem Umfang die von ihm bezogene Übergangsrente der AHV-Beitragspflicht untersteht, das durchschnittliche Jahreseinkommen (vgl. Art. 29quater Bst. a und Art. 29quinquies Abs. 1 AHVG), nicht aber die Beitragsdauer beeinflussen kann. Die Renten sind in Kapital umzurechnen (Art. 7 Bst. q AHVV) und die Beiträge werden im Zeitpunkt der erstmaligen Auszahlung erhoben (vgl. Wegleitung des BSV über den massgebenden Lohn [WML] in der AHV, IV und EO [in der ab 1. Januar 2008 gültigen Fassung] Rz. 2112). Eine Versicherungsunterstellung nach Beendigung des Arbeitsverhältnisses kann somit nicht damit begründet werden, dass die Übergangsrente zum massgebenden Lohn gehört.</w:t>
      </w:r>
    </w:p>
    <w:p>
      <w:r>
        <w:rPr>
          <w:b/>
        </w:rPr>
        <w:t>E. 5</w:t>
      </w:r>
    </w:p>
    <w:p>
      <w:r>
        <w:t>Das Verfahren ist für die Parteien kostenlos (Art. 85bis Abs. 2 AHVG). Dem obsiegenden, nicht anwaltlich vertretenen Beschwerdeführer sind keine verhältnismässig hohen Kosten entstanden, weshalb von der Zusprechung einer Parteientschädigung abzusehen ist (vgl. Art. 64 Abs. 1 VwVG sowie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