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C-7435/2007 vom 8. Dezember 2008</w:t>
      </w:r>
    </w:p>
    <w:p>
      <w:r>
        <w:t>Bundesverwaltungsgericht, 2008-12-08, DE</w:t>
      </w:r>
    </w:p>
    <w:p>
      <w:r>
        <w:rPr>
          <w:b/>
        </w:rPr>
        <w:t xml:space="preserve">Quelle: </w:t>
      </w:r>
      <w:r>
        <w:t>https://mcp.opencaselaw.ch/entscheid/bvger_C-7435_2007</w:t>
      </w:r>
    </w:p>
    <w:p>
      <w:r>
        <w:t>FR: TAF C-7435/2007 du 8 décembre 2008</w:t>
      </w:r>
    </w:p>
    <w:p>
      <w:r>
        <w:t>IT: TAF C-7435/2007 del 8 dicembre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In der vorliegend zu beurteilenden Streitsache ist das Urteil des Bundesverwaltungsgerichts endgültig (Art. 1 Abs. 2 VGG i.V.m. Art. 83 Bst. c Ziff. 1 des Bundesgerichtsgesetzes vom 17. Juni 2005 [BGG, SR 173.110]).</w:t>
      </w:r>
    </w:p>
    <w:p>
      <w:r>
        <w:rPr>
          <w:b/>
        </w:rPr>
        <w:t>E. 1.3</w:t>
      </w:r>
    </w:p>
    <w:p>
      <w:r>
        <w:t>Der Beschwerdeführer ist zur Beschwerde legitimiert (Art. 48 Abs. 1 VwVG). Auf die frist- und formgerecht eingereichte Beschwerde ist einzutreten (Art. 50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 Urteils 2A.451/2002 vom 28. März 2003).</w:t>
      </w:r>
    </w:p>
    <w:p>
      <w:r>
        <w:rPr>
          <w:b/>
        </w:rPr>
        <w:t>E. 1.5</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sowie die gestützt darauf erlassenen Durchführungsvorschriften; insbesondere die Verordnung vom 14. Januar 1998 über die Einreise und Anmeldung von Ausländerinnen und Ausländern (VEA, AS 1998 194, zum vollständigen Quellennachweis vgl. Art. 39 VEV).</w:t>
      </w:r>
    </w:p>
    <w:p>
      <w:r>
        <w:rPr>
          <w:b/>
        </w:rPr>
        <w:t>E. 2.1</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Uebersax/Peter Münch/ Thomas Geiser/Martin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Basel/Genf/ München 2000, S. 24).</w:t>
      </w:r>
    </w:p>
    <w:p>
      <w:r>
        <w:rPr>
          <w:b/>
        </w:rPr>
        <w:t>E. 2.2</w:t>
      </w:r>
    </w:p>
    <w:p>
      <w:r>
        <w:t>Ausländerinnen und Ausländer benötigen zur Einreise in die Schweiz einen Pass und ein Visum, sofern sie nicht aufgrund besonderer Regelung von diesem Erfordernis ausgenommen sind (vgl. Art. 1 bis 5 VEA). Der Gesuchsteller kann sich auf keine Ausnahmeregelung berufen; er ist aufgrund seiner Staatsangehörigkeit visumspflichtig.</w:t>
      </w:r>
    </w:p>
    <w:p>
      <w:r>
        <w:rPr>
          <w:b/>
        </w:rPr>
        <w:t>E. 2.3</w:t>
      </w:r>
    </w:p>
    <w:p>
      <w:r>
        <w:t>Um ein Visum zu erhalten, müssen Ausländerinnen und Ausländer die in Art. 1 Abs. 2 VEA aufgeführten Voraussetzungen erfüllen. Gemäss Art. 1 Abs. 2 Bst. c VEA haben sie unter anderem Gewähr für eine fristgerechte Wiederausreise zu bieten. Die Vorinstanz verweigerte dem Gesuchsteller die Erteilung eines solchen Visums mit der Begründung, seine fristgerechte Wiederausreise erscheine nicht als hinreichend gesichert.</w:t>
      </w:r>
    </w:p>
    <w:p>
      <w:r>
        <w:rPr>
          <w:b/>
        </w:rPr>
        <w:t>E. 2.4.1</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bzw.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2.4.2</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den Experten für die Zukunft ein massiver Rückgang bei den Hilfsgeldern erwartet wird, sind auch die wirtschaftlichen Perspektiven zumindest mittelfristig schlecht. Gemäss World Bank Brief lag der Armutsanteil der Bevölkerung im Kosovo im Jahr 2005 bereits bei 37 % (Tendenz steigend). Der Zuwanderungsdruck aus dieser Region ist dementsprechend hoch. Unter den Migrationswilligen gilt vor allem Westeuropa und damit auch die Schweiz als Wunschdestination, was sich auch in der schweizerischen Asylstatistik widerspiegelt. So stammten im Jahre 2007 9.2 % der Asylsuchenden aus dem Gebiet von Serbien und Kosovo; diese Region stand damit in der Statistik der Asylgesuche nach Nationen an zweiter Stelle. Die diesbezügliche Situation hat sich seither nicht wesentlich entspannt. Laut der letzten Asylstatistik vom 6. Oktober 2008 wurden von Januar bis September 2008 8,8% der Asylgesuche von Staatsangehörigen aus Serbien und dem Kosovo eingereicht, was für das laufende Jahr Rang 4 und für das 3. Quartal 2008 - mit einer Zunahme von 60,7% im Vergleich zum Vorquartal - Rang 3 der Herkunftsländer von Asylsuchenden ergibt.</w:t>
      </w:r>
    </w:p>
    <w:p>
      <w:r>
        <w:rPr>
          <w:b/>
        </w:rPr>
        <w:t>E. 2.4.3</w:t>
      </w:r>
    </w:p>
    <w:p>
      <w:r>
        <w:t>Der Migrationstrend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2.4.4</w:t>
      </w:r>
    </w:p>
    <w:p>
      <w:r>
        <w:t>In Anbetracht der schwierigen Lage im Kosovo ist die allgemeine Beurteilung der Vorinstanz, die das Risiko einer nicht fristgerechten Wiederausreise als relativ hoch einschätzte, nicht zu beanstanden. Bei der Risikoanalyse sind aber nicht nur solche allgemeinen Umstände und Erfahrungen, sondern auch sämtliche Gesichtspunkte des konkreten Einzelfalles zu berücksichtigen. Obliegt einem Gesuchsteller bzw. einer Gesuchstellerin im Heimat- oder ständigen Aufenthaltsstaat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2.4.5</w:t>
      </w:r>
    </w:p>
    <w:p>
      <w:r>
        <w:t>Beim Gesuchsteller handelt es sich um einen vor kurzem 18jährig gewordenen, unverheirateten Mann. Über seine persönlichen Verhältnisse ist nur gerade bekannt, dass er heute wieder im Kosovo in Klinë leben soll, während er sich als Kind zwischen 1995 und 1999 in der Schweiz aufgehalten hatte. Obwohl die Vorinstanz in der angefochtenen Verfügung ausdrücklich auf die Bedeutung der persönlichen Verhältnisse und daraus allenfalls abzuleitender Verpflichtungen aufmerksam gemacht hat, wurde dazu in der Beschwerde nichts erläutert. Demnach ist davon auszugehen, dass der Gesuchsteller im persönlichen und familiären Bereich nichts Spezielles geltend machen kann, was ihn ernsthaft von einer Emigration abzuhalten vermöchte.</w:t>
      </w:r>
    </w:p>
    <w:p>
      <w:r>
        <w:rPr>
          <w:b/>
        </w:rPr>
        <w:t>E. 2.4.6</w:t>
      </w:r>
    </w:p>
    <w:p>
      <w:r>
        <w:t>In gleicher Weise kann auch nicht auf wirtschaftliche Verhältnisse geschlossen werden, die besondere Gewähr für eine Rückkehr ins Heimatland bieten würden. Gemäss seiner eigenen Deklaration im Visumsantrag geht der Gesuchsteller in seiner Heimat keiner Erwerbstätigkeit nach. Der Beschwerdeführer erwähnte gegenüber dem kantonalen Migrationsamt in seiner schriftlichen Auskunft vom 30. August 2007, der Gesuchsteller besuche gegenwärtig Kurse. Worum es sich dabei handelt, wurde allerdings nicht erläutert.</w:t>
      </w:r>
    </w:p>
    <w:p>
      <w:r>
        <w:rPr>
          <w:b/>
        </w:rPr>
        <w:t>E. 2.4.7</w:t>
      </w:r>
    </w:p>
    <w:p>
      <w:r>
        <w:t>Vor dem aufgezeigten allgemeinen und persönlichen Hintergrund ist nicht zu beanstanden, wenn die Vorinstanz darauf schloss, es sei nicht genügende Gewähr für die fristgerechte Wiederausreise nach einem Besuchsaufenthalt gegeben (Art. 14 Abs. 1 i.V.m. Art. 1 Abs. 2 Bst. c VEA).</w:t>
      </w:r>
    </w:p>
    <w:p>
      <w:r>
        <w:rPr>
          <w:b/>
        </w:rPr>
        <w:t>E. 2.5</w:t>
      </w:r>
    </w:p>
    <w:p>
      <w:r>
        <w:t>Die Einschätzung des Risikos einer nicht gesicherten Wiederausreise wird auch nicht damit in Frage gestellt, dass der Beschwerdeführer für die anstandslose und fristgerechte Rückkehr ins Heimatland garantieren will. Die Integrität des Beschwerdeführers in seiner Eigenschaft als Gastgeber wird in keiner Art und Weise in Zweifel gezogen. Indessen sind bei der Abwägung des Risikos einer nicht fristgerechten Wiederausreise nicht so sehr die Einstellung und Absichten eines Gastgebers, sondern in erster Linie das mögliche Verhalten des Gastes selbst von Bedeutung. Nur Letzterer ist in der Lage, hinreichend Gewähr für eine fristgerechte und anstandslose Wiederausreise zu bieten. Ein Gastgeber kann zwar für gewisse finanzielle Risiken Garantie leisten, nicht aber - mangels rechtlicher und faktischer Durchsetzbarkeit - für ein bestimmtes Verhalten des Gastes (anstelle vieler vgl. Urteil des Bundesverwaltungsgerichts C-3243/2007 vom 10. Juni 2008 E. 5.5).</w:t>
      </w:r>
    </w:p>
    <w:p>
      <w:r>
        <w:rPr>
          <w:b/>
        </w:rPr>
        <w:t>E. 2.6</w:t>
      </w:r>
    </w:p>
    <w:p>
      <w:r>
        <w:t>Aus vorstehenden Erwägungen folgt, dass die angefochtene Verfügung Bundesrecht nicht verletzt. Der rechtserhebliche Sachverhalt wurde richtig und vollständig festgestellt und die Vorinstanz hat das ihr zustehende Ermessen pflichtgemäss und zutreffend ausgeübt (Art. 49 VwVG). Die Beschwerde ist daher abzuweisen.</w:t>
      </w:r>
    </w:p>
    <w:p>
      <w:r>
        <w:rPr>
          <w:b/>
        </w:rPr>
        <w:t>E. 3</w:t>
      </w:r>
    </w:p>
    <w:p>
      <w:r>
        <w:t>Entsprechend dem Ausgang des Verfahrens hat der Beschwerdeführer die Kosten zu tragen (Art. 63 Abs. 1 VwVG). Diese sind auf Fr. 600.- festzusetzen (Art. 1, 2 und 3 Bst. b des Reglements vom 21. Februar 2008 über die Kosten und Entschädigungen vor dem Bundesverwaltungsgericht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