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C-7417/2014 vom 4. April 2017</w:t>
      </w:r>
    </w:p>
    <w:p>
      <w:r>
        <w:t>Bundesverwaltungsgericht, 2017-04-04, DE</w:t>
      </w:r>
    </w:p>
    <w:p>
      <w:r>
        <w:rPr>
          <w:b/>
        </w:rPr>
        <w:t xml:space="preserve">Quelle: </w:t>
      </w:r>
      <w:r>
        <w:t>https://mcp.opencaselaw.ch/entscheid/bvger_C-7417_2014</w:t>
      </w:r>
    </w:p>
    <w:p>
      <w:r>
        <w:t>FR: TAF C-7417/2014 du 4 avril 2017</w:t>
      </w:r>
    </w:p>
    <w:p>
      <w:r>
        <w:t>IT: TAF C-7417/2014 del 4 aprile 2017</w:t>
      </w:r>
    </w:p>
    <w:p>
      <w:pPr>
        <w:pStyle w:val="Heading2"/>
      </w:pPr>
      <w:r>
        <w:t>Regeste</w:t>
      </w:r>
    </w:p>
    <w:p>
      <w:r>
        <w:t>Zuteilung zu den Prämientarifen</w:t>
      </w:r>
    </w:p>
    <w:p>
      <w:pPr>
        <w:pStyle w:val="Heading2"/>
      </w:pPr>
      <w:r>
        <w:t>Erwägungen</w:t>
      </w:r>
    </w:p>
    <w:p>
      <w:r>
        <w:rPr>
          <w:b/>
        </w:rPr>
        <w:t>E. 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einzutreten, nachdem auch der Kostenvorschuss fristgerecht geleistet wurde.</w:t>
      </w:r>
    </w:p>
    <w:p>
      <w:r>
        <w:rPr>
          <w:b/>
        </w:rPr>
        <w:t>E. 2.2</w:t>
      </w:r>
    </w:p>
    <w:p>
      <w:r>
        <w:t>Die Beschwerdeführende kann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ZBl 110/2009 S. 442 ff.).</w:t>
      </w:r>
    </w:p>
    <w:p>
      <w:r>
        <w:rPr>
          <w:b/>
        </w:rPr>
        <w:t>E. 2.2.2</w:t>
      </w:r>
    </w:p>
    <w:p>
      <w:r>
        <w:t>Im Bereich der Prämientarife besteht die Überprüfungsbefugnis des Bundesverwaltungsgerichts einerseits darin, die richtige Anwendung des Tarifs zu kontrollieren. Andererseits kann es im Rahmen der konkreten Normenkontrolle - vorfrageweise überprüfen, ob der angewendete Prämientarif bzw. die der Verfügung zu Grunde liegende Tarifposition gesetzes- und verfassungsmässig ist (siehe Urteil des EVG [heute: BGer] vom 26. Juni 1998, publ. in: Sozialversicherungsrecht - Rechtsprechung [SVR] 1999 UV Nr. 2 S. 4 E. 4 mit Hinweis auf SVR 1997 UV Nr. 75 = Verwaltungspraxis der Bundesbehörden [VPB] 61.23A_I S. 260 E. 3). Dem UVG-Versicherer steht bei der Festsetzung des Prämientarifs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EVG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3.1.1</w:t>
      </w:r>
    </w:p>
    <w:p>
      <w:r>
        <w:t>Gemäss Art. 92 Abs. 2 UVG werden für die Bemessung der Prämien in der BUV die Betriebe nach ihrer Art und ihren Verhältnissen in Klassen des Prämientarifs und innerhalb dieser in Stufen eingereiht. Massgebend sind dabei insbesondere die Unfallgefahr und der Stand der Unfallverhütung.</w:t>
      </w:r>
    </w:p>
    <w:p>
      <w:r>
        <w:rPr>
          <w:b/>
        </w:rPr>
        <w:t>E. 3.1.2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3.2.1</w:t>
      </w:r>
    </w:p>
    <w:p>
      <w:r>
        <w:t>Gemäss Art. 92 Abs. 6 UVG können für die Bemessung der Prämien in der NBUV Tarifklassen gebildet werden. Die Prämien dürfen nicht nach dem Geschlecht der versicherten Personen abgestuft werden.</w:t>
      </w:r>
    </w:p>
    <w:p>
      <w:r>
        <w:rPr>
          <w:b/>
        </w:rPr>
        <w:t>E. 3.2.2</w:t>
      </w:r>
    </w:p>
    <w:p>
      <w:r>
        <w:t>Das Gesetz erlaubt somit die Prämienabstufung in der NBUV. Es präzisiert - abgesehen vom Verbot der Prämiendifferenzierung nach dem Geschlecht - nicht, nach welchen Kriterien die Tarifklassen gebildet werden müssen. Mit Rücksicht auf Art. 92 Abs. 1 UVG steht aber fest, dass diese Tarifklassen risikogerechte Nettoprämien garantieren müssen. Risikogerechtigkeit bedeutet, dass hohe Risiken mit entsprechend hohen Prämien, tiefe Risiken mit entsprechend tiefen Prämien zu belasten sind. Damit unterscheidet sich von Gesetzes wegen die Prämiengestaltung bzw. die Bildung von Tarifklassen in der obligatorischen Unfallversicherung von derjenigen in den anderen Sozialversicherungszweigen, in denen Beiträge erhoben werden (vgl. dazu das rechtskräftige Urteil der Rekurskommission vom 28. Juni 1996, publ. in: VPB 61.23A_I E. 4b und 6 mit weiteren Hinweisen).</w:t>
      </w:r>
    </w:p>
    <w:p>
      <w:r>
        <w:rPr>
          <w:b/>
        </w:rPr>
        <w:t>E. 3.3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3.4.1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Verwaltungsaufwendungen geschmälert werden.</w:t>
      </w:r>
    </w:p>
    <w:p>
      <w:r>
        <w:rPr>
          <w:b/>
        </w:rPr>
        <w:t>E. 3.4.2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3.4.3</w:t>
      </w:r>
    </w:p>
    <w:p>
      <w:r>
        <w:t>Das Eidgenössische Versicherungsgericht hat im Übrigen festgestellt, dass im Bereich der Prämientarifgestaltung das Gleichbehandlungsgebot und das Prinzip der Risikogerechtigkeit deckungsgleich sind (vgl. RKUV 1998 Nr. U 294 S. 230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3.5</w:t>
      </w:r>
    </w:p>
    <w:p>
      <w:r>
        <w:t>Im Verfahren zur Einreihung des einzelnen Betriebs in den Prämientarif haben die Versicherer weiter den Anspruch auf rechtliches Gehör zu beachten (Art. 42 ATSG; Art. 29 Abs. 2 BV; vgl. auch Art. 29 VwVG).</w:t>
      </w:r>
    </w:p>
    <w:p>
      <w:r>
        <w:rPr>
          <w:b/>
        </w:rPr>
        <w:t>E. 3.5.1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3.5.2</w:t>
      </w:r>
    </w:p>
    <w:p>
      <w:r>
        <w:t>Einen wesentlichen Bestandteil des verfassungsrechtlich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(Urteil des EVG I 3/05 vom 17. Juni 2005, publ. in: SVR 2006 IV Nr. 27 E. 3.1.3 mit Hinweisen). Die Anforderungen an die Begründung sind umso höher, je weiter der Entscheidungsspielraum der entscheidenden Behörde und je komplexer die Sach- und Rechtslage ist (Häfelin/Müller/Uhlmann, Allgemeines Verwaltungsrecht, 7. Aufl.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3.5.3</w:t>
      </w:r>
    </w:p>
    <w:p>
      <w:r>
        <w:t>Der Anspruch auf rechtliches Gehör ist formeller Natur. Ungeachtet der Erfolgsaussichten der Beschwerde in der Sache selbst führt eine Gehörsverletzung zur Aufhebung der angefochtenen Verfügung (BGE 127 V 431 E. 3d/aa; 126 V 130 E. 2b mit Hinweisen). Nach der Rechtsprechung kann eine nicht besonders schwerwiegende Verletzung des rechtlichen Gehörs allerdings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126 V 130 E. 2b mit Hinweisen). Ausnahmsweise kann im Beschwerdeverfahren selbst eine schwerwiegende Gehörsverletzung geheilt werden, um im Interesse der Verfahrensökonomie eine überlange Verfahrensdauer zu vermeiden (BGE 132 V 387 E. 5.1).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C-235/2009 vom 13. Mai 2011 E. 7; C-585/2009 vom 14. Juni 2011 E. 5; C-532/2009 vom 20. August 2012 E. 3.5.3).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w:t>
      </w:r>
    </w:p>
    <w:p>
      <w:r>
        <w:t>Zunächst sind formelle Einwände der Beschwerdeführerin zu prüfen.</w:t>
      </w:r>
    </w:p>
    <w:p>
      <w:r>
        <w:rPr>
          <w:b/>
        </w:rPr>
        <w:t>E. 4.1</w:t>
      </w:r>
    </w:p>
    <w:p>
      <w:r>
        <w:t>Beschwerdeweise beantragt die Beschwerdeführerin, die SUVA sei anzuhalten, die Grundlagen für die Prämienerhebung vollumfänglich einzureichen und ihr sei die Möglichkeit einzuräumen, dazu Stellung zu nehmen. Sie macht demnach geltend, sie habe keine Kenntnis von den auf die Prämienerhebung basierenden Grundlagen und rügt damit in formeller Hinsicht sinngemäss eine Gehörsverletzung.</w:t>
      </w:r>
    </w:p>
    <w:p>
      <w:r>
        <w:rPr>
          <w:b/>
        </w:rPr>
        <w:t>E. 4.2</w:t>
      </w:r>
    </w:p>
    <w:p>
      <w:r>
        <w:t>Es ist unklar, welche Grundlagen für die Prämienerhebung die Beschwerdeführerin fordert. In der Einreihungsverfügung vom 22. August 2014 (SUVA-act. A/40; act. 1, Beilage 2) verwies die Vorinstanz hinsichtlich weiterer Informationen zur Prämienbemessung bzw. Tarifierung auf ihre Homepage (http://www.suva.ch), wo die massgeblichen Informationsmittel (betreffend NBUV, Prämienbemessung, Prämientarife, Prämien-Erläuterungen, Unfallstatistiken, Geschäftsberichte) heruntergeladen werden können. Ausserdem teilte die Vorinstanz mit, dass sie bei Fragen gerne Auskunft gebe. Die Beschwerdeführerin forderte ausserdem selbst, die Unterlagen der zu diesem Zeitpunkt in derselben Sache beim Bundesverwaltungsgericht hängigen Verfahren der B._______ und C._______ beizuziehen. Bereits anlässlich der erwähnten Verfahren wurden Informationen zwischen den Parteien ausgetauscht. Zum Zeitpunkt der Einsprache vom 16. September 2014 verfügte die Beschwerdeführerin jedenfalls über die entsprechenden Broschüren und beklagte sich nicht über fehlende Grundlagen (SUVA-act. A/42). Im Einspracheentscheid vom 20. November 2014 machte die Vorinstanz weitere Erläuterungen zur von der Beschwerdeführerin einspracheweise gerügten Unterstellungspflicht, der Festsetzung der Basissätze der Risikogemeinschaften sowie zur Festlegung der Prämien der NBUV. Dabei bezog sie sich auf die entsprechenden rechtlichen Grundlagen des Prämientarifs. Dass für die Zuteilung in die NBUV-Klasse bzw. Risikogemeinschaft 52A die Einreihung in die entsprechende BUV-Klasse massgebend ist, welche seitens der Beschwerdeführerin im Übrigen unangefochten blieb, ergibt sich ebenfalls aus den auf der vorinstanzlichen Homepage aufgeschalteten Informationsmitteln. Trotz dieser vorhandenen Informationen bringt die Beschwerdeführerin hinsichtlich der von ihr bemängelten Grundlagen keine konkreten und substantiierten Rügen vor. Aus diesen Umständen folgt, dass die vorinstanzliche Prämienbemessung hinreichend begründet wird und der Anspruch auf rechtliches Gehör nicht verletzt ist bzw. eine allfällige Verletzung als geheilt gelten kann.</w:t>
      </w:r>
    </w:p>
    <w:p>
      <w:r>
        <w:rPr>
          <w:b/>
        </w:rPr>
        <w:t>E. 5</w:t>
      </w:r>
    </w:p>
    <w:p>
      <w:r>
        <w:t>Die Beschwerdeführerin beanstandet in materieller Hinsicht das Vorgehen der SUVA betreffend die Erhebung der NBUV-Prämie resp. deren Höhe sowie ihre Unterstellungspflicht unter die SUVA. Es ist somit zu prüfen, ob die Vorinstanz NBUV-Prämie rechtmässig erhoben hat. Im Anschluss ist zu prüfen, ob die Beschwerdeführerin obligatorisch der SUVA unterstellt ist.</w:t>
      </w:r>
    </w:p>
    <w:p>
      <w:r>
        <w:rPr>
          <w:b/>
        </w:rPr>
        <w:t>E. 5.1</w:t>
      </w:r>
    </w:p>
    <w:p>
      <w:r>
        <w:t>In den Vorbemerkungen der Beschwerde (act. 1, S. 1) wird zunächst ausgeführt, die Beschwerdeführerin gehöre zum gleichen Firmenverbund wie die Firmen A._______ und C._______, für welche unter den Referenzen C-792/2014 und C-791/2014 bereits zwei Verfahren bezüglich überhöhter NBUV Prämien für das Jahr 2014 beim Bundesverwaltungsgericht hängig seien. Dabei stellten sich die gleichen grundsätzlichen Fragen betreffend die Prämienerhebung/Prämienhöhe wie im vorliegenden Verfahren, weshalb die in den Verfahren (C-792/2014 und C-791/2014) vorgebrachten Begründungen und Begehren auch für die vorliegende Beschwerde gälten. Die Beschwerdeführerin verzichte deshalb darauf, alle Argumente nochmals aufzulisten. Weiter wurde zusammengefasst ausgeführt, dass die Beschwerdeführerin seit Jahren die überhöhten Prämien für die NBUV beklage. Die SUVA habe in den beiden Gerichtsverfahren C-792/2014 und C-791/2014, sowie in den vielen Gesprächen mit den Firmenverantwortlichen bisher nur ihr Prämiensystem zu erklären versucht und sei in keiner Weise auf die wirklichen Anliegen bezüglich überhöhter Prämien eingetreten. Es seien widersprüchliche Darstellungen von Seiten der SUVA zum NBUV-Prämiensystem zum Vorschein gekommen. Die Aussagen, die Nettoprämiensätze der SUVA könnten nicht mit denjenigen der Privatversicherer verglichen werden, da diese andere - in der Regel tiefere - Risiken versicherten, sei irreführend und falsch. Aus der Sicht der Versicherungsnehmer könne aufgrund des tiefen Schadensverlaufs und dem Drittvergleich klar festgestellt werden, dass die veranlagten NBUV-Prämien der SUVA massiv überhöht und von der SUVA nicht durch ein umständliches und/oder komplexes Prämiensystem mit vielerlei Rückstellungen und Reserven zu rechtfertigen seien. Dies sei umso stossender, als von Seiten der SUVA die Ansicht vertreten werde, die Firmen der Gruppe der Beschwerdeführerin müssten zwingend bei der SUVA versichert sein. Wenn aber schon keine Wahlmöglichkeit bezüglich des Versicherers bestehen sollte, dann sei es umso wichtiger, dass die Prämien nicht überhöht seien und der SUVA dadurch kein Gewinn erwachse oder überhöhte Schadenrückstellungen oder Ausgleichsreserven gebildet würden. Keine Wahlmöglichkeiten zu haben, räche sich für die Versicherungsnehmer auch in Schadenfällen, wofür letztlich die Prämienzahlungen vorgenommen würden. Viele Versicherte seien mit dem Gebaren der SUVA äusserst unzufrieden und würden im Schadenfall schlecht behandelt.</w:t>
      </w:r>
    </w:p>
    <w:p>
      <w:r>
        <w:rPr>
          <w:b/>
        </w:rPr>
        <w:t>E. 5.2</w:t>
      </w:r>
    </w:p>
    <w:p>
      <w:r>
        <w:t>Nachdem die Vorinstanz vernehmlassungsweise darauf hingewiesen hatte, für die Begründung der vorliegenden Beschwerde nicht die Rechtschriften anderer Beschwerdeverfahren heranziehen zu können, wiederholte die Beschwerdeführerin in ihrer Replik die in den Verfahren C-791/2014 und C-792/2014 bereits vorgebrachten Argumente. Vor allem kritisierte sie die Prämienerhebung der SUVA und gab dazu an, dass das Abstellen auf die Risikogemeinschaft der BUV für die NBUV einerseits generell nicht geeignet sei, um risikogerechte Prämien zu erheben und andererseits individuelle Bemühungen zur Schadensminderung der Beschwerdeführerin nicht ausreichend berücksichtigt würden. Zudem sei das Abstellen auf die Risikogemeinschaften der BUV auch in der gesetzlichen Grundlage der NBUV nicht vorgesehen. Dies führe dazu, dass aus den Versicherungsverhältnissen der zur A._______-Gruppe gehörenden Firmen eine massive Prämienüberdeckung entstanden sei. Ohne Zwangsunterstellung zur SUVA hätte das Management der Beschwerdeführerin mit einem Versichererwechsel diese Missstände bereits beseitigt.</w:t>
      </w:r>
    </w:p>
    <w:p>
      <w:r>
        <w:rPr>
          <w:b/>
        </w:rPr>
        <w:t>E. 5.3</w:t>
      </w:r>
    </w:p>
    <w:p>
      <w:r>
        <w:t>Vorliegend rügt die Beschwerdeführerin, dass das Prämiensystem der SUVA widersprüchlich sei und nicht nachvollzogen werden könne. Die von der SUVA veranlagten NBUV-Prämien seien massiv überhöht und nicht durch ein umständliches und/oder komplexes Prämiensystem mit vielerlei Rückstellungen und Reserven zu rechtfertigen. Sie stellt den Antrag, die NBUV-Prämie sei tiefer anzusetzen. Dabei werden generelle Ausführungen zur Erhebung der Prämientarife resp. zu deren Höhe gemacht, welche die zur A._______ Gruppe gehörenden Firmen, so auch die Beschwerdeführerin, betreffen. Zudem wird ausgeführt, "Versicherte" seien mit dem Verhalten der SUVA unzufrieden. Die Beschwerdeführerin bemängelt demnach im Allgemeinen das Prämiensystem der SUVA und stellt dessen Rechtmässigkeit in Frage. Sie gibt denn auch beschwerdeweise an, anlässlich der am 14. Februar 2014 beim Bundesverwaltungsgericht anhängig gemachten Verfahren der beiden zum gleichen Verbund gehörenden Firmen A._______ (C-792/2014) und C._______ (C-791/2014) dieselben Fragen gestellt zu haben. In ihrem Rechtsbegehren hat sie auch den Antrag auf Sistierung des vorliegenden Verfahrens gestellt, bis die Prämienerhebung/Prämienhöhe in den erwähnten, anhängigen Verfahren geklärt sei, um im Anschluss noch die Frage ihrer Zwangs-Unterstellungspflicht zu prüfen. Bezüglich der Vorbringen der Beschwerdeführerin betreffend das Prämiensystem der SUVA ist auf die bundesverwaltungsgerichtliche Rechtsprechung hinzuweisen. In seinen unangefochten gebliebenen Urteilen C-791/2014 vom 26. September 2016 und C-792/2014 vom 27. September 2016 hat sich das Bundesverwaltungsgericht einlässlich mit dem Prämiensystem der SUVA resp. mit der Frage der Rechtmässigkeit ihrer Prämienerhebung/Prämienhöhe betreffend die NBUV auseinandergesetzt (E. 5.2 ff.). Dabei ist es zum Schluss gekommen, dass das Prämiensystem der SUVA weder das Prinzip der Risikogerechtigkeit (E. 5.2.4.2) noch das der Gegenseitigkeit (E. 5.2.4.3) oder des Willkürverbotes (E. 5.2.5.2) verletzt. Zusammenfassend hat das Bundesverwaltungsgericht festgehalten, dass der von der SUVA angewendete Prämientarif gesetzmässig ist. (E. 5.2.4.4). Die Prämienerhebung der SUVA ist demnach nicht zu beanstanden und rechtmässig. Die Rüge der Beschwerdeführerin betreffend die Widerrechtlichkeit des Prämiensystems resp. die Prämienerhebung/Prämienhöhe ist daher unbegründet. Die von der Beschwerdeführerin verlangte Herabsetzung der Prämie wird in Bezug auf das von ihr bemängelte Prämiensystem beantragt. Ihre Begründungen dazu sind lediglich allmeiner Natur. Anzufügen ist, dass die SUVA mit Verfügung vom 7. Oktober 2013 (SUVA-act. A/31) die Einreihung in die NBUV per 1. Januar 2014 verfügt hat, wogegen die Beschwerdeführerin Einsprache erhoben hat (SUVA-act. A/33). Der in der Folge ergangene Einspracheentscheid vom 15. Januar 2014 ist jedoch unangefochten in Rechtskraft erwachsen (SUVA-act. A/36). Die per 1. Januar 2015 gültige Einreihung in den Prämientarif ist im Verhältnis zum Vorjahr gleich geblieben und nicht erhöht worden. Die beantragte Herabsetzung der Prämie wird deshalb abgewiesen, weshalb der replikweise gestellte Antrag auf Rückerstattung gegenstandslos wird.</w:t>
      </w:r>
    </w:p>
    <w:p>
      <w:r>
        <w:rPr>
          <w:b/>
        </w:rPr>
        <w:t>E. 5.4</w:t>
      </w:r>
    </w:p>
    <w:p>
      <w:r>
        <w:t>Weiter rügt die Beschwerdeführerin die Zwangsunterstellung der NBUV unter die SUVA. Replikweise führt sie aus, sie betrachte es nicht als ihre Aufgabe, die viel mächtigere SUVA in Bezug auf die Einhaltung der gesetzlichen Vorschriften zu überwachen oder auf dem Rechtsweg jährlich für angemessene Prämien kämpfen zu müssen und bekräftigte den bereits gestellten Antrag, die Unterstellungspflicht sei generell aufzuheben. Ebenfalls sei die Behauptung der SUVA, die Unterstellungspflicht sei nicht Gegenstand der angefochtenen Verfügung gewesen, unzutreffend. Einspracheweise habe die Beschwerdeführerin erwähnt, grundsätzlich mit der Unterstellungspflicht der NBUV nicht einverstanden zu sein; diese führe für ihre Mitarbeiter zu überhöhten NBUV-Prämien. Es sei fraglich, ob sich diese systembedingte Benachteiligung der Mitarbeiter mit dem Gleichstellungsgrundsatz gemäss Art. 8 BV vereinbaren lasse, da nicht SUVA pflichtunterstellte Branchen den Versicherer frei wählen und Prämien ohne Rechtsverfahren verhandeln könnten (act. 11 S. 9 f.).</w:t>
      </w:r>
    </w:p>
    <w:p>
      <w:r>
        <w:rPr>
          <w:b/>
        </w:rPr>
        <w:t>E. 5.4.1</w:t>
      </w:r>
    </w:p>
    <w:p>
      <w:r>
        <w:t>Hierzu ist zunächst festzuhalten, dass die obligatorische Unterstellung der Beschwerdeführerin, welche gemäss Handelsregisterauszug den Vertrieb und die Herstellung von Maschinen, Apparaten und Werkzeugen aller Art, insbesondere (...), unter die SUVA gesetzlich vorgesehen ist (Art. 66 Abs. 1 Bst. e UVG). Aus der Betriebsbeschreibung vom 16. Dezember 2010 (SUVA-act. A/14) und dem Besuchsrapport vom 25. Juni 2010 (SUVA-act. A/4) wurde unter "Betriebsart und Tätigkeit" der Handel von Werkzeugen für Bearbeitungsmaschinen aufgeführt, wobei für "Büro" 95 % und für "Umschlag" 5 % angegeben worden sind. Ebenso wurde ausgeführt, dass die vier Betriebe A._______, X._______, B._______, C._______ sich in einem zweistöckigen Gebäude befänden. Speziell sei, dass die vier Betriebe teilweise vermischt seien. Basierend darauf erliess die SUVA am 21. Oktober 2010 eine Einreihungsverfügung für die NBUV (SUVA-act. A/1). Dagegen erhob die Beschwerdeführerin am 12. November 2010 Einsprache und machte geltend, die Unternehmungen X._______ sowie B._______ seien aufgrund ihrer Tätigkeiten nicht mehr obligatorisch der SUVA unterstellt (SUVA-act. A/8). Am 14. Februar 2011 zog sie die Einsprache vorbehaltlos zurück (SUVA-act. A/15), woraufhin die Einreihungsverfügung vom 21. Oktober 2010 rechtskräftig wurde. Die Unterstellung der Beschwerdeführerin unter die SUVA war demzufolge nicht mehr bestritten. Anlässlich des vorliegenden Beschwerdeverfahrens gab die Beschwerdeführerin an, es lägen neuere Erkenntnisse im Zusammenhang mit der Prämienerhebung vor und führte dazu aus, die SUVA mache die Unterstellung anhand von untergeordneten Tätigkeiten im Service- und Reparaturbereich geltend. Die Beschwerdeführerin beschäftige einen Servicetechniker, der während ca. 30 % seiner Tätigkeit Reparaturen ausführe, was 0.3 Personaleinheiten entspreche. Diese Tätigkeit werde als Grundlage für die Unterstellungspflicht unter die SUVA herangezogen. Bei einem Total von 6.4 beschäftigten Personaleinheiten entspreche dies 5 % der Firmentätigkeit. Die verbleibenden 95 % fielen auf den Verkauf (Aussen- und Innendienst), die Verwaltung und Produktedokumentation; also einer nicht der SUVA pflichtunterstellten Tätigkeit. Damit bezahlten ca. 90 % der administrativ tätigen Personen die der Betriebszugehörigkeit zugeordneten Prämien. Diese Ausführungen entsprechen den Angaben des Besuchsrapport vom 25. Juni 2010 und waren bereits zum Zeitpunkt der rechtskräftig gewordenen Einreihungsverfügung vom 21. Oktober 2010 bekannt. Im Weiteren ist zu beachten, dass praxisgemäss die Einreihung in den vorinstanzlichen Prämientarif erst im Anschluss an die rechtskräftige Unterstellung (Urteil des BVGer C-235/2009 vom 13. Mai 2011 E. 6.2.2 mit weiteren Hinweisen) erfolgt. Die Unterstellung war jedoch nicht Gegenstand des Einspracheverfahrens. Auf den Antrag der Beschwerdeführerin um Aufhebung der Unterstellungspflicht ist daher mangels Streitgegenstands nicht einzutreten.</w:t>
      </w:r>
    </w:p>
    <w:p>
      <w:r>
        <w:rPr>
          <w:b/>
        </w:rPr>
        <w:t>E. 5.4.2</w:t>
      </w:r>
    </w:p>
    <w:p>
      <w:r>
        <w:t>Hinsichtlich des angerufenen Rechtsgleichheitsgebots ist davon auszugehen, dass die mit der Beschwerdeführerin konkurrierenden Unternehmen grundsätzlich dasselbe Kostenrisiko aufweisen und ebenfalls der SUVA unterstellt sind. Folglich ist auf diese Betriebe der gleiche - hier streitige - Prämientarif anzuwenden. Von einer Ungleichbehandlung kann unter diesen Umständen nicht gesprochen werden. Im Vergleich zu anderen Berufsgruppen bzw. Betriebsarten, welche nicht der SUVA unterstellt sind, ist - angesichts des unterschiedlichen Risikos - eine ungerechtfertigte Ungleichbehandlung ebenfalls nicht ersichtlich, weshalb die Beschwerdeführerin gestützt auf das Gleichbehandlungsgebot gemäss Art. 8 Abs. 1 BV nichts zu ihren Gunsten ableiten kann. Nicht nur der SUVA, sondern auch den übrigen Versicherern wird bei der Bildung von Klassen bzw. Risikogemeinschaften im Übrigen ein weiter Ermessensspielraum zugestanden, weshalb ein Vergleich zwischen den Klassen oder Risikogemeinschaften bzw. den Prämiensätzen der Privatversicherer und der SUVA nicht ohne weiteres möglich ist (vgl. Urteil des BVGer C-919/2008 E. 7.2).</w:t>
      </w:r>
    </w:p>
    <w:p>
      <w:r>
        <w:rPr>
          <w:b/>
        </w:rPr>
        <w:t>E. 6</w:t>
      </w:r>
    </w:p>
    <w:p>
      <w:r>
        <w:t>Zusammenfassend erweisen sich die von der Beschwerdeführerin vorgebrachten Rügen als unbegründet. Die Beschwerde vom 19. Dezember 2014 ist daher abzuweisen, soweit darauf einzutreten ist, und der Einspracheentscheid vom 20. November 2014 ist zu bestätigen.</w:t>
      </w:r>
    </w:p>
    <w:p>
      <w:r>
        <w:rPr>
          <w:b/>
        </w:rPr>
        <w:t>E. 7.1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