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C-7411/2014 vom 30. März 2016</w:t>
      </w:r>
    </w:p>
    <w:p>
      <w:r>
        <w:t>Bundesverwaltungsgericht, 2016-03-30, FR</w:t>
      </w:r>
    </w:p>
    <w:p>
      <w:r>
        <w:rPr>
          <w:b/>
        </w:rPr>
        <w:t xml:space="preserve">Quelle: </w:t>
      </w:r>
      <w:r>
        <w:t>https://mcp.opencaselaw.ch/entscheid/bvger_C-7411_2014</w:t>
      </w:r>
    </w:p>
    <w:p>
      <w:r>
        <w:t>FR: TAF C-7411/2014 du 30 mars 2016</w:t>
      </w:r>
    </w:p>
    <w:p>
      <w:r>
        <w:t>IT: TAF C-7411/2014 del 30 marzo 2016</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fédérale (PA ; RS 172.021) prises par les autorités mentionnées à l'art. 33 LTAF. En particulier, les décisions en matière d'interdiction d'entrée rendues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ch. 3.197). Aussi peut-il admettre ou rejeter le pourvoi pour d'autres motifs que ceux invoqués. Dans son arrêt, il prend en considération l'état de fait régnant au moment où elle statue (cf. ATAF 2014/1 consid. 2).</w:t>
      </w:r>
    </w:p>
    <w:p>
      <w:r>
        <w:rPr>
          <w:b/>
        </w:rPr>
        <w:t>E. 3.1</w:t>
      </w:r>
    </w:p>
    <w:p>
      <w:r>
        <w:t>L'interdiction d'entrée, qui permet d'empêcher l'entrée ou le retour en Suisse, respectivement dans l'Espace Schengen, d'un étranger dont le séjour est indésirable, est régie par l'art. 67 LEtr, dans sa teneur en vigueur depuis le 1er janvier 2011 (RO 2010 5925 [5929, 5933]).</w:t>
      </w:r>
    </w:p>
    <w:p>
      <w:r>
        <w:rPr>
          <w:b/>
        </w:rPr>
        <w:t>E. 3.2</w:t>
      </w:r>
    </w:p>
    <w:p>
      <w:r>
        <w:t>Aux termes de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du renvoi ou de l'expulsion ou en détention pour insoumission (let. c). L'interdiction d'entrée est prononcée pour une durée maximale de cinq ans. Elle peut toutefois être prononcée pour une plus longue durée lorsque la personne concernée constitue une menace grave pour la sécurité et l'ordre public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3.3.1</w:t>
      </w:r>
    </w:p>
    <w:p>
      <w:r>
        <w:t>L'interdiction d'entrée, qui permet d'empêcher l'entrée ou le retour en Suisse (et dans l'Espace Schengen ; cf. arrêt du Tribunal administratif fédéral C-6528/2008 du 14 mai 2009 consid. 4) d'un étranger dont le séjour est indésirable, n'est pas considérée comme une peine sanctionnant un comportement déterminé, mais comme une mesure ayant notamment pour but de prévenir une atteinte à la sécurité et à l'ordre publics (cf. Message du Conseil fédéral du 8 mars 2002 concernant la loi sur les étrangers [ci-après : Message LEtr], FF 2002 3469, p. 3568). Le prononcé d'une interdiction d'entrée est donc en rapport avec la présence d'un risque qu'une atteinte à la sécurité et à l'ordre publics soit commise à l'avenir. Il convient par conséquent de procéder à un pronostic en se fondant sur l'ensemble des circonstances du cas concret. Pour ce faire, l'autorité se référera tout particulièrement au comportement que l'administré a adopté par le passé. De la sorte, la commission d'infractions constitue un indice de poids permettant de penser qu'une atteinte sera commise à l'avenir (cf. notamment l'arrêt du Tribunal administratif fédéral C-183/2014 du 21 janvier 2016 consid. 3.3.1 et les arrêts cités). Par ailleurs, il sied de préciser que le risque de récidive constitue avant tout l'élément central en présence de ressortissants d'Etats parties à l'ALCP et que ce critère peut avoir une portée moindre en présence de ressortissants d'Etat tiers comme en l'espèce (cf., parmi d'autres, arrêt du Tribunal administratif fédéral C-1542/2015 du 27 janvier 2016 consid. 3.2 et les références citées).</w:t>
      </w:r>
    </w:p>
    <w:p>
      <w:r>
        <w:rPr>
          <w:b/>
        </w:rPr>
        <w:t>E. 3.3.2</w:t>
      </w:r>
    </w:p>
    <w:p>
      <w:r>
        <w:t>S'agissant des notions de sécurité et d'ordre publics auxquelles se réfè­re l'art. 67 al. 2 let. a LEtr, il convient de préciser que celles-ci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En vertu de l'art. 80 al. 1 de l'ordonnance du 24 octobre 2007 relative à l'admission, au séjour et à l'exercice d'une activité lucrative (OASA ;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3.4</w:t>
      </w:r>
    </w:p>
    <w:p>
      <w:r>
        <w:t>En particulier, une interdiction d'entrée peut être prononcée lorsque l'étranger a violé les prescriptions du droit des étrangers (cf. message précité, FF 2002 3568, et art. 80 OASA). Aussi, selon la jurisprudence, le fait d'entrer, de séjourner ou de travailler en Suisse ou dans l'Espace Schengen sans autorisation constitue une violation grave des prescriptions de police des étrangers (cf. notamment l'arrêt du Tribunal administratif fédéral C-183/2014 précité consid. 3.4 et la jurisprudence citée).</w:t>
      </w:r>
    </w:p>
    <w:p>
      <w:r>
        <w:rPr>
          <w:b/>
        </w:rPr>
        <w:t>E. 3.5</w:t>
      </w:r>
    </w:p>
    <w:p>
      <w:r>
        <w:t>L'autorité compétente examine selon sa libre appréciation si une interdiction d'entrée doit être prononcée. Elle doit donc procéder, ainsi que le commande l'art. 96 al. 1 LEtr, à une pondération méticuleuse de l'ensemble des intérêts en présence et respecter le principe de proportionnalité (cf. Andreas Zünd / Ladina Arquint Hill, Beendigung der Anwesenheit, Entfernung und Fernhaltung, in : P. Uebersax et Al. [éd.], Ausländerrecht, 2ème éd., Bâle 2009, ch. 8.80).</w:t>
      </w:r>
    </w:p>
    <w:p>
      <w:r>
        <w:rPr>
          <w:b/>
        </w:rPr>
        <w:t>E. 3.6</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décision du Conseil 2013/158/UE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aussi l'art.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 du 15 septembre 2009] ; sur ces questions, cf. également les arrêts du Tribunal administratif fédéral C-661/2011 du 6 juin 2012 consid. 8.2 et C 6801/2010 du 1er avril 2011 consid. 4).</w:t>
      </w:r>
    </w:p>
    <w:p>
      <w:r>
        <w:rPr>
          <w:b/>
        </w:rPr>
        <w:t>E. 4.1</w:t>
      </w:r>
    </w:p>
    <w:p>
      <w:r>
        <w:t>En l'espèce, le Tribunal constate que A._______, ressortissant des Etats-Unis d'Amérique, était autorisé à entrer en Suisse et dans l'Espace Schengen et à y demeurer, sans autorisation spécifique, durant au maximum quatre-vingt-dix (90) jours par période de six mois, a excédé la durée autorisée et, partant, séjourné illégalement à compter du 11 août 2014, ce jusqu'à son départ pour son pays d'origine, le 13 octobre 2014 (à l'exception de trois jours passés en Croatie, hors Espace Schengen). Ce fait, constitutif d'une violation grave des prescriptions légales du droit des étrangers, a été admis par A._______. Le prénommé a exposé s'être basé sur des renseignements qui lui avaient été communiquées par les autorités françaises en 2011, n'avoir pas pris garde aux modifications réglementaires intervenues entretemps, avoir cru à tort que la Suisse et la Slovénie ne faisaient pas partie de l'Espace Schengen et qu'une sortie de cette espace, suivie d'une nouvelle entrée quelques jours plus tard, avait pour conséquence d'autoriser le séjour durant une nouvelle période de quatre-vingt-dix (90) jours. Ces explications sont à tout le moins révélatrices d'un comportement négligent de la part du recourant dans la préparation de son voyage et de son séjour en Europe. Ainsi que l'a souligné à juste titre l'autorité de première instance dans son préavis du 3 février 2015 (cf. ci-dessus, let. E), il appartenait à A._______ de s'informer sur les évolutions intervenues dans le cadre réglementaire depuis son dernier périple en Europe, plus spécialement sous l'angle de l'entrée et du séjour dans l'Espace Schengen ; de l'avis même du recourant (cf. mémoire de recours, p. 11), la réglementation de l'Espace Schengen est en constante évolution, ce qui aurait précisément dû amener l'intéressé à être vigilant. En omettant de procéder aux vérifications d'usage, A._______ n'a pas adopté une attitude adéquate, respectueuse de l'ordre public suisse et de celui des pays visités.</w:t>
      </w:r>
    </w:p>
    <w:p>
      <w:r>
        <w:rPr>
          <w:b/>
        </w:rPr>
        <w:t>E. 4.2</w:t>
      </w:r>
    </w:p>
    <w:p>
      <w:r>
        <w:t>Le Tribunal est ainsi amené à conclure que l'interdiction d'entrée prononcée le 4 novembre 2014 en application de l'art. 67 al. 2 let. a LEtr est parfaitement justifiée dans son principe, A._______ ayant bien attenté à la sécurité et à l'ordre publics en raison d'un dépassement du séjour autorisé de soixante et un (61) jours, déduction faite des trois jours passés en Croatie, pays qui demeure en dehors de l'Espace Schengen. Le Tribunal de céans considère par ailleurs que, même dans l'hypothèse où le recourant se trouvait effectivement dans l'ignorance - ainsi qu'il l'affirme (cf. mémoire de recours, p. 11) - du fait que la Suisse et la Slovénie fissent partie de l'Espace Schengen, il n'en demeure pas moins qu'il lui incombait de s'informer des réglementations, en vigueur en matière de droit des étrangers, des pays dans lesquels il entendait se rendre et, en cas d'incertitude à ce propos, de se renseigner - ou, au besoin, d'actualiser des renseignements anciens - auprès des autorités compétentes. De jurisprudence constante, la méconnaissance ou la mésinterprétation de la réglementation en matière de visa ou de séjour ne constitue par principe pas un motif de renonciation au prononcé d'une mesure d'éloignement (cf. arrêts du Tribunal administratif fédéral C 1385/2012 du 14 septembre 2012 consid. 7.4, C 1429/2013 du 12 août 2013 consid. 4.2 et C-849/2013 et C-853/2013 [causes jointes] du 20 février 2014 consid. 5.5).</w:t>
      </w:r>
    </w:p>
    <w:p>
      <w:r>
        <w:rPr>
          <w:b/>
        </w:rPr>
        <w:t>E. 5</w:t>
      </w:r>
    </w:p>
    <w:p>
      <w:r>
        <w:t>Il convient encore d'examiner si la mesure d'éloignement prise par l'autorité inférieure satisfait aux principes de proportionnalité et d'égalité de traitement.</w:t>
      </w:r>
    </w:p>
    <w:p>
      <w:r>
        <w:rPr>
          <w:b/>
        </w:rPr>
        <w:t>E. 5.1</w:t>
      </w:r>
    </w:p>
    <w:p>
      <w:r>
        <w:t>Lorsque l'autorité administrative prononce une interdiction d'entrée, elle doit respecter ces principes et s'interdire tout arbitraire (cf. notamment Jacques Dubey / Jean-Baptiste Zufferey, Droit administratif général, Bâle 2014, pp. 215 ss, Thierry Tanquerel, Manuel de droit administratif, Genève / Bâle / Zurich 2011, pp. 187 ss, Blaise Knapp, Précis de droit administratif, Bâle / Francfort-sur-le-Main 1991, pp. 103 ss, 113 ss et 124 ss et André Grisel, Traité de droit administratif, vol. I, Neuchâtel 1984, pp. 339 ss, 348 ss, 358 ss et 364 ss). Pour satisfaire au principe de proportionnalité, il faut que la mesure d'éloignement prononcée soit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C-183/2014 du 21 janvier 2016, consid. 5.1 et la jurisprudence citée). L'exigence de proportionnalité à laquelle doivent satisfaire les mesures étatiques, telles les mesures d'éloignement, découle notamment de l'art. 96 al. 1 LEtr. Elle peut également résulter de l'art. 8 par. 2 CEDH, pour autant que la mesure étatique en cause constitue une ingérence dans l'exercice du droit à la protection de la vie familiale garanti par l'art. 8 par. 1 CEDH (cf. ATF 139 I 145 consid. 2.2 et ATF 135 II 377 consid. 4.2 et 4.3). La détermination de la durée de l'interdiction d'entrée dans un cas concret doit en particulier tenir compte de l'importance des biens juridiques menacés et des intérêts privés concernés (cf. ATAF 2014/20 consid. 8.2 et 8.3).</w:t>
      </w:r>
    </w:p>
    <w:p>
      <w:r>
        <w:rPr>
          <w:b/>
        </w:rPr>
        <w:t>E. 5.2</w:t>
      </w:r>
    </w:p>
    <w:p>
      <w:r>
        <w:t>En l'espèce, s'agissant de l'intérêt public, il est à noter que l'interdiction d'entrée prononcée à l'encontre de A._______ est une mesure administrative de contrôle qui tend à le tenir éloigné de Suisse et de l'Espace Schengen où il a excédé de soixante et un (61) jours la durée de son séjour autorisé en Suisse et dans l'Espace Schengen. Il en va de l'intérêt de l'Etat à voir respecter l'ordre établi et la législation en vigueur (cf. arrêt du Tribunal administratif fédéral C-183/2014 précité, consid. 5.2 et la jurisprudence citée). A l'analyse du dossier, il y a toutefois lieu de relever que l'indéniable négligence dont a fait preuve le recourant dans la préparation de son périple n'a été accompagnée ou précédée d'aucune autre infraction ; à défaut d'éléments probants contraires, A._______, aujourd'hui âgé de 67 ans, qui effectue régulièrement depuis vingt ans de longs voyages d'agrément en Europe (cf. mémoire de recours, p. 2, ch. 4), a toujours adopté un comportement irréprochable. Force est de surcroît de constater que le prénommé s'est excusé à deux reprises, la première fois devant les gardes-frontières dans le cadre du droit d'être entendu, la seconde fois lors de la procédure de recours devant l'autorité de céans (cf. ci-dessus, let. B, ainsi que la lettre de A._______ datée du 4 mars 2015 [pièce n° 30 annexée à la réplique du 6 mars 2015]), et qu'il s'est engagé à ne pas réitérer son attitude négligente. Rien ne permet de mettre en doute la sincérité de ses excuses et sa bonne volonté.</w:t>
      </w:r>
    </w:p>
    <w:p>
      <w:r>
        <w:rPr>
          <w:b/>
        </w:rPr>
        <w:t>E. 5.3</w:t>
      </w:r>
    </w:p>
    <w:p>
      <w:r>
        <w:t>Quant à l'intérêt privé stricto sensu du recourant à pouvoir venir en Suisse et dans l'Espace Schengen et à y circuler librement, il se concentre sur les voyages d'agrément qu'il effectue régulièrement afin de s'adonner à sa passion, le cyclisme, et de rencontrer des amis domiciliés en Europe, dont certains ont été des clients à qui il a par le passé enseigné la pratique du ski dans l'Oregon, où il dispense des cours durant la saison hivernale.</w:t>
      </w:r>
    </w:p>
    <w:p>
      <w:r>
        <w:rPr>
          <w:b/>
        </w:rPr>
        <w:t>E. 5.4</w:t>
      </w:r>
    </w:p>
    <w:p>
      <w:r>
        <w:t>Tenant compte de l'ensemble des éléments objectifs et subjectifs de la cause, le Tribunal considère que l'interdiction d'entrée en Suisse prise par l'autorité intimée le 4 novembre 2014 est une mesure nécessaire et adéquate afin de prévenir toute nouvelle atteinte à la sécurité et à l'ordre publics en Suisse et dans l'Espace Schengen. Toutefois, la durée de la mesure - deux ans - apparaît excessive, induisant une limitation disproportionnée de l'intérêt privé du recourant compte tenu, notamment, de son passé et de son engagement crédible à veiller, à l'avenir, à un strict respect de la réglementation migratoire. Il convient par conséquent de réduire la durée de la mesure d'éloignement prononcée et de limiter les effets de celle-ci au jour du présent arrêt (pour un cas similaire, cf. arrêt du Tribunal administratif fédéral C-1255/2013 du 25 juin 2014, spécialement consid. 7.5).</w:t>
      </w:r>
    </w:p>
    <w:p>
      <w:r>
        <w:rPr>
          <w:b/>
        </w:rPr>
        <w:t>E. 6</w:t>
      </w:r>
    </w:p>
    <w:p>
      <w:r>
        <w:t>En conséquence, le recours est partiellement admis et la décision querellée est réformée en ce sens que la durée de l'interdiction d'entrée prononcée le 4 novembre 2014 est limitée au jour du présent arrêt. En considération de ce qui précède, le signalement de A._______ dans le système d'information Schengen (SIS II) doit être supprimé sans délai par l'autorité inférieure.</w:t>
      </w:r>
    </w:p>
    <w:p>
      <w:r>
        <w:rPr>
          <w:b/>
        </w:rPr>
        <w:t>E. 7.1</w:t>
      </w:r>
    </w:p>
    <w:p>
      <w:r>
        <w:t>Compte tenu de l'issue de la cause, il y a lieu de mettre des frais de procédure réduits à la charge du recourant (cf. art. 63 al. 1 PA en relation avec les art 1 à 3 du règlement du Tribunal administratif fédéral du 21 février 2008 concernant les frais, dépens et indemnités fixés par le Tribunal administratif fédéral [FITAF ; RS 173.320.2]).</w:t>
      </w:r>
    </w:p>
    <w:p>
      <w:r>
        <w:rPr>
          <w:b/>
        </w:rPr>
        <w:t>E. 7.2</w:t>
      </w:r>
    </w:p>
    <w:p>
      <w:r>
        <w:t>Obtenant partiellement gain de cause, le recourant a par ailleurs droit à des dépens partiels pour les frais nécessaires et relativement élevés causés par le litige (cf. art. 64 al. 1 PA en relation avec l'art. 7 FITAF). Au vu de l'ensemble des circonstances du cas, de l'importance de l'affaire et du degré de difficulté de cette dernière et de l'ampleur du travail accompli par le mandataire, le Tribunal estime, considérant les art. 8 ss FITAF, que le versement d'un montant de 800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