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C-7404/2024 vom 24. Oktober 2024</w:t>
      </w:r>
    </w:p>
    <w:p>
      <w:r>
        <w:t>Bundesverwaltungsgericht, 2024-10-24, DE</w:t>
      </w:r>
    </w:p>
    <w:p>
      <w:r>
        <w:rPr>
          <w:b/>
        </w:rPr>
        <w:t xml:space="preserve">Quelle: </w:t>
      </w:r>
      <w:r>
        <w:t>https://mcp.opencaselaw.ch/entscheid/bvger_C-7404_2024_d20241024</w:t>
      </w:r>
    </w:p>
    <w:p>
      <w:r>
        <w:t>FR: TAF C-7404/2024 du 24 octobre 2024</w:t>
      </w:r>
    </w:p>
    <w:p>
      <w:r>
        <w:t>IT: TAF C-7404/2024 del 24 ottobre 2024</w:t>
      </w:r>
    </w:p>
    <w:p>
      <w:pPr>
        <w:pStyle w:val="Heading2"/>
      </w:pPr>
      <w:r>
        <w:t>Regeste</w:t>
      </w:r>
    </w:p>
    <w:p>
      <w:r>
        <w:t>Heilmittel (&amp;Uuml;briges) | Heilmittelgesetz, Marktüberwachung, Verfügung der Swissmedic vom 24. Oktober 2024</w:t>
      </w:r>
    </w:p>
    <w:p>
      <w:pPr>
        <w:pStyle w:val="Heading2"/>
      </w:pPr>
      <w:r>
        <w:t>Erwägungen</w:t>
      </w:r>
    </w:p>
    <w:p>
      <w:r>
        <w:rPr>
          <w:b/>
        </w:rPr>
        <w:t>E. 1</w:t>
      </w:r>
    </w:p>
    <w:p>
      <w:r>
        <w:t>Dispositiv Ziff. 3 der Verfügung von Swissmedic vom 24. Oktober 2024 (Ref. Nr. […]) sei aufzuheben.</w:t>
      </w:r>
    </w:p>
    <w:p>
      <w:r>
        <w:rPr>
          <w:b/>
        </w:rPr>
        <w:t>E. 2</w:t>
      </w:r>
    </w:p>
    <w:p>
      <w:r>
        <w:t>Die auf der Webseite von Swissmedic sowie auf der Webseite der Schwei- zerischen Eidgenossenschaft publizierte Warnung bezüglich «B._______» (…) vom (…) sowie der Nachtrag vom (…) seien zu entfer- nen.</w:t>
      </w:r>
    </w:p>
    <w:p>
      <w:r>
        <w:rPr>
          <w:b/>
        </w:rPr>
        <w:t>E. 3</w:t>
      </w:r>
    </w:p>
    <w:p>
      <w:r>
        <w:t>Dispositiv Ziff. 4 der Verfügung von Swissmedic vom 24. Oktober 2024 (Ref. Nr. […]) betreffend die Verfahrensgebühren sei aufzuheben. Unter Kosten- und Entschädigungsfolgen (zzgl. MwSt.) zu Lasten von Swiss- medic. dass die Beschwerdeführerin in prozessualer Hinsicht folgende Anträge stellen liess: 1. Der Antrag gemäss Ziff. 2 des Rechtsbegehrens ist vorsorglich anzuord- nen bis zu einem Endentscheid in der Hauptsache. 2. Eventualiter sei die auf der Webseite von Swissmedic sowie auf der Web- seite der Schweizerischen Eidgenossenschaft publizierte Warnung be- züglich «B._______» (…) vom (…) sowie der Nachtrag vom (…) vorsorg- lich mit der Formulierung gemäss Beilage 1 bis zu einem Endentscheid in der Hauptsache zu ersetzen. dass der mit Zwischenverfügung vom 28. November 2024 eingeforderte Kostenvorschuss in der Höhe von Fr. 5'000.– am 4. Dezember 2024 bei</w:t>
      </w:r>
    </w:p>
    <w:p>
      <w:r>
        <w:t>C-7404/2024 Seite 4 der Gerichtskasse einging (BVGer-act. 2 [Dispositiv- Ziffern 1 und 2] und 5), dass die Beschwerdeführerin mit Eingabe vom 6. Dezember 2024 die mit gleicher Zwischenverfügung vom 28. November 2024 (BVGer-act. 2 [Dis- positiv- Ziffern 3]) eingeforderte Vollmacht sowie eine notariell beglaubigte Bestätigung der Zeichnungsberechtigung dem Gericht zukommen liess (BVGer-act. 6 inkl. Beilage), dass die Instruktionsrichterin mit Zwischenverfügung vom 20. Februar 2025 – nach erfolgter Vernehmlassung (BVGer-act. 8) – den Antrag der Beschwerdeführerin, wonach die publizierte Warnung bezüglich «B._______» (…) vom (…) sowie der Nachtrag vom (…) der Vorinstanz während der Dauer des Beschwerdeverfahrens vorsorglich zu entfernen seien, abwies (Dispositiv-Ziffer 1), den Eventualantrag der Beschwerdefüh- rerin, wonach die auf der Webseite von Swissmedic sowie auf der Web- seite der Schweizerischen Eidgenossenschaft publizierte Warnung bezüg- lich «B._______» (…) vom (…) sowie der Nachtrag vom (…) vorsorglich mit der Formulierung gemäss Beilage 1 bis zu einem Endentscheid in der Hauptsache zu ersetzen seien, abwies (Dispositiv-Ziffer 2) und die Kosten des Gesuchsverfahrens zur Hauptsache schlug (Dispositiv-Ziffer 5), dass die Vorinstanz in ihrer Vernehmlassung in der Hauptsache vom 23. April 2025 die Abweisung der Beschwerde beantragte (BVGer-act. 14), dass die Beschwerdeführerin mit schriftlicher Erklärung vom 12. Mai 2025 ihre Beschwerde vom 25. November 2024 vorbehaltlos zurückzog (BVGer- act. 16), dass das Beschwerdeverfahren daher im einzelrichterlichen Verfahren als durch Rückzug gegenstandslos geworden abzuschreiben ist (Art. 23 Abs. 1 Bst. a VGG [SR 173.32]), dass der Vorinstanz ein Doppel der Eingabe der Beschwerdeführerin vom 12. Mai 2025 zur Kenntnisnahme zuzustellen ist, dass gemäss Art. 63 Abs. 1 VwVG das Beschwerdeverfahren vor dem Bun- desverwaltungsgericht grundsätzlich kostenpflichtig ist, dass die Verfahrenskosten in der Regel jener Partei auferlegt werden, deren Verhalten die Gegenstandslosigkeit bewirkt hat (Art. 5 Satz 1 des</w:t>
      </w:r>
    </w:p>
    <w:p>
      <w:r>
        <w:t>C-7404/2024 Seite 5 Reglements vom 21. Februar 2008 über die Kosten und Entschädigungen vor dem Bundesverwaltungsgericht [VGKE, SR 173.320.2]), dass ein Rückzug der Beschwerde grundsätzlich als Unterliegen gilt (vgl. Urteil des BGer 2C_697/2018 vom 1. März 2019 E. 2.2; Urteil des BVGer C-5087/2020 vom 13. Januar 2021), dass die Verfahrenskosten ganz oder teilweise erlassen werden können, wenn – wie vorliegend – ein Rechtsmittel ohne erheblichen Aufwand für das Gericht durch Rückzug erledigt wird (Art. 6 Bst. a des Reglements vom 21. Februar 2008 über die Kosten und Entschädigungen vor dem Bundes- verwaltungsgericht [VGKE, SR 173.320.2]), dass die bisher aufgelaufenen Verfahrenskosten von Fr. 1'000.– der Beschwerdeführerin aufzuerlegen sind, dass dieser Betrag dem geleisteten Kostenvorschuss zu entnehmen und der Restbetrag von Fr. 4'000.– nach Eintritt der Rechtskraft des vorliegen- den Abschreibungsentscheids auf ein von der Beschwerdeführerin zu be- zeichnendes Konto zurückzuerstatten ist, dass das Gericht bei Gegenstandslosigkeit eines Verfahrens zu prüfen hat, ob eine Parteientschädigung zuzusprechen ist, und dass für die Festset- zung der Parteientschädigung Art. 5 VGKE sinngemäss gilt (Art. 15 VGKE), dass der die Gegenstandslosigkeit verursachenden Beschwerdeführerin keine Parteientschädigung zuzusprechen ist, dass die Vorinstanz als Bundesbehörde ebenso wenig einen Anspruch auf eine Parteientschädigung hat (vgl. Art. 7 Abs. 3 VGKE).</w:t>
      </w:r>
    </w:p>
    <w:p>
      <w:r>
        <w:t>C-7404/2024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