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C-7402/2010 vom 5. April 2011</w:t>
      </w:r>
    </w:p>
    <w:p>
      <w:r>
        <w:t>Bundesverwaltungsgericht, 2011-04-05, DE</w:t>
      </w:r>
    </w:p>
    <w:p>
      <w:r>
        <w:rPr>
          <w:b/>
        </w:rPr>
        <w:t xml:space="preserve">Quelle: </w:t>
      </w:r>
      <w:r>
        <w:t>https://mcp.opencaselaw.ch/entscheid/bvger_C-7402_2010</w:t>
      </w:r>
    </w:p>
    <w:p>
      <w:r>
        <w:t>FR: TAF C-7402/2010 du 5 avril 2011</w:t>
      </w:r>
    </w:p>
    <w:p>
      <w:r>
        <w:t>IT: TAF C-7402/2010 del 5 aprile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bzw. Einspracheentscheide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Urteils 2A.451/2002 vom 28. März 2003, teilweise publiziert in BGE 129 II 215).</w:t>
      </w:r>
    </w:p>
    <w:p>
      <w:r>
        <w:rPr>
          <w:b/>
        </w:rPr>
        <w:t>E. 3</w:t>
      </w:r>
    </w:p>
    <w:p>
      <w:r>
        <w:t>Das BFM hat trotz nicht ganz korrekter Abwicklung der Angelegenheit durch die Schweizerische Botschaft in Bangkok (formlose Ablehnung des Einreisegesuches am 1. Juni 2010, obwohl dies seit dem 15. Mai 2010 förmlich auf einem eigens hierfür vorgesehenen Formular ge­schehen müsste) einen Einspracheentscheid gefällt (vgl. hierzu Art. 6 Abs. 2 bzw. Art. 6 Abs. 2bis AuG). Aufgrund der gesamten Umstände (Entgegennahme von Eingaben des Gastgebers als sinngemässe Ein­sprache) erscheint ein solches Vorgehen nicht zuletzt aus verfahrensöko­nomischen Überlegungen vertretbar, zumal dem Beschwer­deführer daraus kein Nachteil erwachsen ist und er dagegen keine Einwände erhebt.</w:t>
      </w:r>
    </w:p>
    <w:p>
      <w:r>
        <w:rPr>
          <w:b/>
        </w:rPr>
        <w:t>E. 4</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w:t>
      </w:r>
    </w:p>
    <w:p>
      <w:r>
        <w:rPr>
          <w:b/>
        </w:rPr>
        <w:t>E. 5</w:t>
      </w:r>
    </w:p>
    <w:p>
      <w:r>
        <w:t>Die inlän­dischen Bestim­mun­gen über das Visumsverfahren und über die Ein- und Ausreise finden Anwendung, sofern die Schengen-Assozi­ierungs­abkommen keine abwei­chenden Bestimmungen enthalten (vgl. Art. 2 Abs. 4 und 5 AuG).</w:t>
      </w:r>
    </w:p>
    <w:p>
      <w:r>
        <w:rPr>
          <w:b/>
        </w:rPr>
        <w:t>E. 6.1</w:t>
      </w:r>
    </w:p>
    <w:p>
      <w:r>
        <w:t>Angehörige von Drittstaaten benötigen zur Einreise in die Schweiz bzw. den Schengenraum für einen Aufenthalt von höchs­tens drei Mo­na­ten gültige Reisedokumente, die zum Grenzübertritt be­rechtigen, und ein Vi­sum, sofern dieses erforderlich ist (vgl. Art. 5 Abs. 1 Bst. a AuG sowie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und Art. 2 der Ver­ordnung [EU] Nr. 265/2010 des Europäischen Parlaments und des Ra­tes vom 25. März 2010 zur Änderung des Übereinkommens zur Durchfüh­rung des Überein­kommens von Schengen und der Ver­ordnung [EG] Nr. 562/2006 in Bezug auf den Verkehr von Personen mit einem Vi­sum für einen länger­fristigen Aufenthalt [ABl. L 85 vom 31.03.2010, S. 1-4]).</w:t>
      </w:r>
    </w:p>
    <w:p>
      <w:r>
        <w:rPr>
          <w:b/>
        </w:rPr>
        <w:t>E. 6.2</w:t>
      </w:r>
    </w:p>
    <w:p>
      <w:r>
        <w:t>Im Weiteren müssen Drittstaatsangehörige den Zweck und die Um­stände ihres be­ab­sichtigten Aufenthalts belegen und hierfür über aus­rei­chende finan­ziel­le Mittel verfügen (Art. 5 Abs. 1 Bst. b AuG, Art. 5 Abs. 1 Bst. c SGK und Art. 14 Abs. 1 Bst. a-c der Ver­ordnung [EG] Nr. 810/2009 des Euro­pä­ischen Parlaments und des Ra­tes vom 13. Juli 2009 über ei­nen Visa­kodex der Gemeinschaft [nach­folgend: Visakodex, ABl. L 243 vom 15.09.2009, S. 1-58]). Namentlich haben sie zu belegen, dass sie den Schengenraum vor Ablauf der Gültig­keitsdauer des beantragten Vi­sums wieder verlassen bzw. Gewähr für ihre fristgerechte Wiederausreise zu bieten (Art. 14 Abs. 1 Bst. d und Art. 21 Abs. 1 Visakodex sowie Art. 5 Abs. 2 AuG).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6.3</w:t>
      </w:r>
    </w:p>
    <w:p>
      <w:r>
        <w:t>Werden die Voraussetzungen für die Ausstellung eines für den Schen­gen­raum einheitlichen Visums nicht erfüllt, so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zum Ganzen Art. 25 Abs. 1 Bst. a Visa­kodex; ebenso Art. 5 Abs. 4 Bst. c SGK).</w:t>
      </w:r>
    </w:p>
    <w:p>
      <w:r>
        <w:rPr>
          <w:b/>
        </w:rPr>
        <w:t>E. 6.4</w:t>
      </w:r>
    </w:p>
    <w:p>
      <w:r>
        <w:t>Gemäss Anhang I zur Verordnung (EG) Nr. 539/2001 des Rates vom 15. März 2001 (ABl. L 81 vom 21.03.2001, S. 1 - 7) unterliegt die Gesuch­stellerin als thailändische Staatsangehörige der Visumspflicht.</w:t>
      </w:r>
    </w:p>
    <w:p>
      <w:r>
        <w:rPr>
          <w:b/>
        </w:rPr>
        <w:t>E. 7.1</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7.2</w:t>
      </w:r>
    </w:p>
    <w:p>
      <w:r>
        <w:t>Anhaltspunkte zur Beurteilung der fristgerechten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 Die Gesuchstellerin stammt aus Thailand. Die Wirtschaft dieses Landes hat sich von der internationalen Wirtschaftskrise deutlich erholt. Belief sich das Wachstum des Bruttoinlandproduktes 2009 noch auf -2,3 Prozent, sind die Wachstumsraten im 1. und 2. Quartal 2010 stark nach oben geschnellt (12% bzw. 8%). Hauptträger des Wachstums waren der Exportsektor, der 2009 mit 72% zum BIP beitrug, sowie die Konjunkturpakete der Regierung. Die Prognosen für 2010 gehen von einer anhaltenden Erholung in der Weltkonjunktur aus. Die Wachstumsprognose für 2010 liegt zwischen 5,5% - 7,5%, dies jedoch unter Vorbehalt innenpolitischer Risiken, welche bereits in den Jahren 2005 bis 2008 für eine Verlangsamung des Wirtschaftswachstums sorgten (vgl. zu den wirtschaftlichen Indizes die Länder- und Reiseinformationen auf der Website des Deutschen Auswärtigen Amtes: http://www.auswaertiges-amt.de&gt;, Länder, Reise, Sicherheit &gt; Thailand &gt; Reiseinformationen &gt; Wirtschaft, Stand: Oktober 2010, besucht im März 2011). Die grundsätzlich ermutigende wirtschaftliche Entwicklung kann nicht über die Tatsache hinwegtäuschen, dass nach wie vor breite Bevölkerungsschichten von vergleichsweise schwierigen ökonomischen und sozialen Lebens­bedingungen betroffen sind. Das Bruttoinlandprodukt (BIP) pro Kopf der Bevölkerung betrug im Jahre 2009 nämlich nur gerade 3'941 USD (Schweiz: 63'401 USD; Quelle: Germany Trade &amp; Invest, http://www.gtai.de, Aussenwirtschaft Thailand Wirtschaftsdaten kompakt - Thailand, November 2010, besucht im März 2011).</w:t>
      </w:r>
    </w:p>
    <w:p>
      <w:r>
        <w:rPr>
          <w:b/>
        </w:rPr>
        <w:t>E. 7.3</w:t>
      </w:r>
    </w:p>
    <w:p>
      <w:r>
        <w:t>Vor dem Hintergrund der fortbestehenden ungünstigen Lebensverhältnisse ist - vor allem in der jüngeren Bevölkerung - ein starker Migrationsdruck festzustellen. Dabei gilt auch die Schweiz als Zielland vieler Auswanderer im erwerbsfähigen Alter, welche sich hier unter besseren Lebensbedingungen eine (neue) Existenz aufbauen möchten. Diese Tendenz zur Auswanderung wird erfahrungsgemäss dort noch begünstigt, wo bereits ein soziales Beziehungsnetz (Verwandte, Freunde) im Ausland besteht. Im Falle der Schweiz führt dies angesichts der restriktiven Zulassungsregelung oftmals zur Umgehung ausländerrechtlicher Bestimmungen. Dabei wird nicht selten versucht, den Aufenthalt zu verlängern oder - beispielsweise durch Ausbildung oder Heirat - auf eine andere migrationsrechtliche Grundlage zu stellen.</w:t>
      </w:r>
    </w:p>
    <w:p>
      <w:r>
        <w:rPr>
          <w:b/>
        </w:rPr>
        <w:t>E. 7.4</w:t>
      </w:r>
    </w:p>
    <w:p>
      <w:r>
        <w:t>Hinsichtlich der Rüge der Pauschalisierung ist dem Beschwerdeführer zwar insoweit zuzustimmen, als es zu schematisch und nicht haltbar wäre, generell und ohne spezifische Anhaltspunkte ausschliesslich aufgrund der allgemeinen Lage in der Herkunftsregion auf eine nicht hinreichend gesicherte Wiederausreise zu schliessen. Es gilt somit, über die Situation im Herkunftsland hinaus, ebenfalls die weiteren Umstände des Einzelfalles zu würdigen, wie dies die Vorinstanz denn auch getan hat. Namentlich können berufliche, gesellschaftliche oder familiäre Verpflichtungen die Prognose für eine anstandslose Wiederausreise begünstigen.</w:t>
      </w:r>
    </w:p>
    <w:p>
      <w:r>
        <w:rPr>
          <w:b/>
        </w:rPr>
        <w:t>E. 8.1</w:t>
      </w:r>
    </w:p>
    <w:p>
      <w:r>
        <w:t>Bei der aus der Nordregion von Thailand stammenden Gesuchstellerin handelt es sich um eine 37-jährige, unverheiratete Frau, welche gemäss Angaben des Beschwerdeführers zusammen mit ihrer 12-jährigen Tochter in Hausgemeinschaft mit ihren Eltern lebt. Auf den ersten Blick könnte der Umstand, dass die Eingeladene für die Dauer ihres Besuchsaufenthaltes in der Schweiz ihr minderjähriges Kind in der Heimat zurücklassen würde, durchaus für eine gewisse Verwurzelung sprechen. Andererseits lässt die Tatsache, dass nicht bloss ein Aufenthalt in der Schweiz von einigen Wochen, sondern gleich von drei Monaten angestrebt wird, nicht ohne weiteres darauf schliessen, die Präsenz der Gesuchstellerin sei für die Belange ihrer Familie unverzichtbar; aufgrund der Aktenlage ist eher davon auszugehen, die von ihr geleistete Unterstützung im Elternhaus sowie bei der Betreuung der Tochter könne durchaus für längere Zeit auch auf andere Weise sichergestellt werden, was denn auch vom Beschwerdeführer nicht in Abrede gestellt wird. Im Übrigen zeigt die Erfahrung, dass gerade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oder gegebenenfalls später nachziehen zu kön­nen.</w:t>
      </w:r>
    </w:p>
    <w:p>
      <w:r>
        <w:rPr>
          <w:b/>
        </w:rPr>
        <w:t>E. 8.2</w:t>
      </w:r>
    </w:p>
    <w:p>
      <w:r>
        <w:t>Auch die wirtschaftlichen Verhältnisse bieten keine besondere Gewähr für eine Wiederausreise. Im Zeitpunkt der Gesuchseinreichung ging die Eingeladene keiner Erwerbstätigkeit nach (vgl. Ziff. 19 und 20 des persönlichen Einreisegesuches). Gegenüber der kantonalen Migrationsbehörde bestätigte auch der Beschwerdeführer, dass seine Freundin nicht berufstätig sei (vgl. den am 21. Juni 2010 ausgefüllten Fragebogen zur Verpflichtungserklärung). Belege, die zu­verlässige Rückschlusse auf die wirtschaftlichen Verhältnisse, in denen die Eingeladene lebt, ziehen lassen, liegen keine vor. Aufgrund der bestehenden Akten kann auf jeden Fall nicht davon ausgegangen werden, die Gesuchstellerin befinde sich in ei­ner vorteilhaften und stabilen wirtschaftlichen Situation, die das Risiko ei­ner nicht fristgerechten Wiederausreise nach einem Besuchsaufenthalt in der Schweiz entscheidend herabsetzen könnte.</w:t>
      </w:r>
    </w:p>
    <w:p>
      <w:r>
        <w:rPr>
          <w:b/>
        </w:rPr>
        <w:t>E. 8.3</w:t>
      </w:r>
    </w:p>
    <w:p>
      <w:r>
        <w:t>Hinzu kommt, dass der Beschwerdeführer zwar im Verlaufe des Vi­sumsverfahren erklärte, er und seine (wesentlich jüngere Freundin) hätten keine Heiratspläne, im gleichen Schreiben jedoch be­tonte, seit 12 Jahren sei er von seiner Ehefrau getrennt und das Scheidungsverfahren laufe. Von daher bestehen hinsichtlich des Aufenthaltszwecks un­bestrittenermassen gewisse Bedenken und Unsi­cherheiten (vgl. auch die Bemerkungen der Schweizer Vertretung vom 1. Juni 2010). Hierbei geht es keineswegs darum, eine mögliche Heirat durch Einreisebestim­mungen zu erschweren oder zu verhindern. Wenn aber ein Visum für einen be­fristeten Besuchsaufenthalt beantragt wird, des­sen Erteilung an eine fristgerechte Wiederausreise geknüpft ist, und der Besuch dann je nach Entwicklung der Umstände für Hei­ratsvorbereitun­gen benutzt wird, dann liegt es auf der Hand, dass zumin­dest op­tionsweise eine dauerhaftere Anwesenheit hierzulande angestrebt wird, was eben nicht dem Zweck eines befristeten Besuchsaufenthalts ent­spricht. Einreisegesuche zwecks Eheabschluss richten sich derweil nach eigenen Verfahren mit besonderen Zuständigkeiten (vgl. Art. 10 und 17 AuG bzw. Art. 42 AuG; vgl. auch Urteil des Bundesverwaltungsgerichts C-6726/2010 vom 18. Januar 2011 E. 9.2).</w:t>
      </w:r>
    </w:p>
    <w:p>
      <w:r>
        <w:rPr>
          <w:b/>
        </w:rPr>
        <w:t>E. 9.1</w:t>
      </w:r>
    </w:p>
    <w:p>
      <w:r>
        <w:t>Gestützt auf die vorstehenden Erwägungen durfte die Vorinstanz zu Recht davon ausgehen, die Wiederausreise der Gesuchstellerin sei im Sinne der massgeblichen Bestimmungen nicht gesichert. An der Richtig­keit dieser Einschätzung vermag auch die Tatsache nichts zu än­dern, dass der Beschwerdeführer wiederholt die rechtzeitige Rückkehr sei­ner Freundin zugesichert hat. Die Integrität des Beschwerdeführers wird denn auch in keiner Weise in Zweifel gezogen. Die von ihm eingegan­genen Verpflichtungen umfassen jedoch ausschliesslich das Ri­siko ungedeckter Kosten im Zusammenhang mit dem beabsichtigten Be­suchsaufenthalt und sind betragsmässig nach oben beschränkt (Art. 8 Abs. 5 VEV). Demgegenüber kann der Beschwerdeführer in seiner Rolle als Gastgeber für ein bestimmtes Tun oder Unterlassen des Gastes nicht rechtswirksam einstehen (vgl. zum Ganzen BVGE 2009/27 E. 9). In die­sem Zusammenhang bleibt festzuhalten, dass er die Gesuchstellerin erst seit Dezember 2009 - von seinem Ferienaufenthalt in Thailand her - kennt. Bei die­ser Sachlage wird selbst der Beschwerdeführer gewisse Vorbehalte an­bringen müssen, wenn es darum geht, mögliche Entwicklungen in den Wünschen und Vorstellungen der (deutlich jüngeren) Gesuchstellerin betref­fend ihre kurz- und mittelfristige Lebensgestaltung einschätzen zu kön­nen.</w:t>
      </w:r>
    </w:p>
    <w:p>
      <w:r>
        <w:rPr>
          <w:b/>
        </w:rPr>
        <w:t>E. 9.2</w:t>
      </w:r>
    </w:p>
    <w:p>
      <w:r>
        <w:t>Der (durchaus verständliche) Wunsch des Beschwerdeführers, seine Freundin mittels des vorgesehenen Aufenthalts hierzulande besser ken­nen zu lernen und ihr das Lebensumfeld in der Schweiz zu zeigen, hat dem­nach in den Hintergrund zu treten. Den Beteiligten ist zuzumuten, ihre freundschaftliche Beziehung vorderhand anderweitig zu pflegen; dies umso mehr, als der Beschwerdeführer gegenüber der Schweizervertre­tung in Bangkok ohnehin seine Absicht bekundet hat, nach seiner (kurz bevorstehenden) Pensionierung jeweils die Wintermonate bei seiner Freundin in Thailand zu verbringen. Die Visumsverweigerung erscheint unter besagtem Gesichts­punkt daher auch nicht als unverhältnismässig.</w:t>
      </w:r>
    </w:p>
    <w:p>
      <w:r>
        <w:rPr>
          <w:b/>
        </w:rPr>
        <w:t>E. 10</w:t>
      </w:r>
    </w:p>
    <w:p>
      <w:r>
        <w:t>Aus den dargelegten Gründen ist nicht zu beanstanden, dass die Vorin­stanz das öffentliche Interesse sowie die Beachtung der geltenden Bestim­mungen entsprechend gewichtete und der Gesuchstellerin die Ein­reise verweigerte. Die angefochtene Verfügung ist somit im Ergebnis recht­mässig (Art. 49 VwVG). Die Beschwerde ist demzufolge abzuwei­sen.</w:t>
      </w:r>
    </w:p>
    <w:p>
      <w:r>
        <w:rPr>
          <w:b/>
        </w:rPr>
        <w:t>E. 11</w:t>
      </w:r>
    </w:p>
    <w:p>
      <w:r>
        <w:t>Entsprechend dem Ausgang des Verfahrens wird der unterliegende Be­schwerdeführer kostenpflichtig (Art. 63 Abs. 1 VwVG i.V.m. Art. 1, 2 und 3 Bst. b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