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C-7386/2010 vom 31. Oktober 2011</w:t>
      </w:r>
    </w:p>
    <w:p>
      <w:r>
        <w:t>Bundesverwaltungsgericht, 2011-10-31, FR</w:t>
      </w:r>
    </w:p>
    <w:p>
      <w:r>
        <w:rPr>
          <w:b/>
        </w:rPr>
        <w:t xml:space="preserve">Quelle: </w:t>
      </w:r>
      <w:r>
        <w:t>https://mcp.opencaselaw.ch/entscheid/bvger_C-7386_2010</w:t>
      </w:r>
    </w:p>
    <w:p>
      <w:r>
        <w:t>FR: TAF C-7386/2010 du 31 octobre 2011</w:t>
      </w:r>
    </w:p>
    <w:p>
      <w:r>
        <w:t>IT: TAF C-7386/2010 del 31 ottobre 2011</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 /72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Les dispositions de la 5ème révision de la LAI entrées en vigueur le 1er janvier 2008 sont seules applicables vu le dépôt de la demande de prestations en date du 19 juin 2009. En l'espèce, le Tribunal peut se limiter à examiner si le recourant remplissait les conditions d'octroi d'une rente jusqu'au 30 août 2010, date de la décision attaquée marquant la limite dans le temps du pouvoir d'examen de l'autorité de recours (ATF 129 V 1 consid. 2.1 avec les réf.). Il sied de préciser que la documentation médicale établie après la date de la décision dont est recours ne peut être prise en compte que dans la mesure où elle permet une meilleure compréhension des atteintes à la santé antérieures à la décision attaquée.</w:t>
      </w:r>
    </w:p>
    <w:p>
      <w:r>
        <w:rPr>
          <w:b/>
        </w:rPr>
        <w:t>E. 4.1</w:t>
      </w:r>
    </w:p>
    <w:p>
      <w:r>
        <w:t>Dans ses écritures le recourant fait valoir que ce n'est qu'au stade de la réponse au recours qu'il n'a pu prendre connaissances du rapport du service médical de l'OAIE à la base du rejet de sa demande de prestation. Ce faisant il a soulevé le grief de la violation du droit d'être entendu.</w:t>
      </w:r>
    </w:p>
    <w:p>
      <w:r>
        <w:rPr>
          <w:b/>
        </w:rPr>
        <w:t>E. 4.2</w:t>
      </w:r>
    </w:p>
    <w:p>
      <w:r>
        <w:t>La jurisprudence a déduit du droit d'être entendu, consacré à l'art. 29 al. 2 de la Constitution fédérale de la Confédération suisse du 18 avril 1999 (Cst., RS 101), le devoir de l'autorité de motiver sa décision, afin que le destinataire puisse la comprendre, la contester utilement s'il y a lieu et que l'autorité de recours puisse exercer son contrôle (cf. aussi l'art. 35 al. 1 PA). Pour répondre à ces exigences, il suffit que l'autorité mentionne, au moins brièvement, les motifs qui l'on guidée et sur lesquels elle a fondé sa décision; elle n'a toutefois pas l'obligation d'exposer et de discuter tous les arguments invoqués par les parties. Il y a violation du droit d'être entendu que si l'autorité ne satisfait pas à son devoir minimum d'examiner les problèmes pertinents (ATF 129 I 232 consid. 3.2). En règle générale, l'étendue de l'obligation de motiver dépend de la complexité de l'affaire à juger, de la liberté d'appréciation dont jouit l'autorité et de la potentielle gravité des conséquences de sa décision (cf. ATF 112 Ia 107 consid. 2b). En outre, la motivation ne doit pas nécessairement se trouver dans la décision elle-même. Elle peut découler d'une correspondance séparée ou du renvoi à une prise de position d'une autre autorité (ATF 123 I 31 consid. 2; ATF 113 II 204 consid. 2; Jurisprudence des autorités administratives de la Confédération [JAAC] 68.6 consid. 5a). Le droit d'être entendu est une garantie constitutionnelle de caractère formel, dont la violation doit en principe entraîner l'annulation de la décision attaquée indépendamment des chances de succès du recourant sur le fond (ATF 127 V 431 consid. 3d/aa).</w:t>
      </w:r>
    </w:p>
    <w:p>
      <w:r>
        <w:rPr>
          <w:b/>
        </w:rPr>
        <w:t>E. 4.3</w:t>
      </w:r>
    </w:p>
    <w:p>
      <w:r>
        <w:t>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133 I 201 consid. 2.2). Si la réparation d'un vice éventuel doit cependant demeurer l'exception (ATF 127 V 431 consid. 3d/aa; ATF 126 V 130 consid. 2b),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(in casu l'assuré) dont le droit d'être entendu a été lésé (ATF 132 V 387 consid. 5.1).</w:t>
      </w:r>
    </w:p>
    <w:p>
      <w:r>
        <w:rPr>
          <w:b/>
        </w:rPr>
        <w:t>E. 4.4</w:t>
      </w:r>
    </w:p>
    <w:p>
      <w:r>
        <w:t>En l'espèce l'assuré a documenté sa situation médicale par la production de plusieurs rapports médicaux concluant à son invalidité et l'OAIE, sans étayer sa position, a par projet de décision du 21 avril 2010 relevé que l'assuré ne présentait pas d'invalidité. Cette position a par la suite été confirmée par la décision du 30 août 2010 sans à nouveau être étayée. Ce n'est qu'au stade du recours que l'intéressé a pu prendre connaissance des avis médicaux du service médical de l'OAIE et se déterminer en conséquence. Le droit d'être entendu de l'assuré a ainsi été violé, l'ayant obligé à interjeter recours pour connaître les motifs du rejet de sa demande de prestations. Le renvoi du dossier à l'administration pour le motif d'une violation du droit d'être entendu afin que celle-ci rende une nouvelle décision après avoir communiqué les pièces déterminantes et entendu l'administré est la règle. En l'espèce le recourant a cependant pu prendre connaissance de l'entier de son dossier à la suite du mémoire de réponse de l'autorité intimée et s'est exprimé par sa duplique du 22 février 2011 sur les pièces qui ne lui étaient pas connues. Il s'ensuit que la violation du droit d'être entendu a été corrigée sans préjudice pour l'assuré quant à la défense de ses intérêts par devant le tribunal de céans. En ces circonstances, le renvoi de la cause serait contraire au principe de l'économie de la procédure.</w:t>
      </w:r>
    </w:p>
    <w:p>
      <w:r>
        <w:rPr>
          <w:b/>
        </w:rPr>
        <w:t>E. 4.5</w:t>
      </w:r>
    </w:p>
    <w:p>
      <w:r>
        <w:t>Le rapport du Dr B._______ de l'OAIE du 25 mars 2010 étant en allemand, le recourant en a demandé la traduction en français. Elle lui a été refusée par le tribunal de céans par ordonnance du 24 février 2011. Or par acte du 28 mars 2011 le recourant, se référant à ses écritures antérieures, a maintenu l'ensemble de ses conclusions. Il sied de préciser à ce sujet que ni le principe de l'égalité des langues, ni le principe de la langue officielle n'interdisent aux collaborateurs d'une autorité fédérale de rédiger des communications internes dans une des langues nationales qui n'est pas la langue officielle utilisée concrètement dans les relations avec l'administré (ATF 131 V 35 consid. 4). L'art. 33a PA ne confère que le droit de l'administré à ce que la procédure à laquelle il est partie soit conduite jusqu'à la décision rendue dans l'une des quatre langues officielles de son choix sans pour autant ouvrir le droit à la traduction de pièces annexes (Michel Valterio, Droit de l'assurance-vieillesse et survivants (AVS) et de l'assurance-invalidité (AI), Zurich, n° 2976).</w:t>
      </w:r>
    </w:p>
    <w:p>
      <w:r>
        <w:rPr>
          <w:b/>
        </w:rPr>
        <w:t>E. 5</w:t>
      </w:r>
    </w:p>
    <w:p>
      <w:r>
        <w:t>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al. 1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Le recourant a versé des cotisations à l'AVS/AI pendant plus de 3 ans et remplit donc la condition de la durée minimale de cotisations eu égard au moment de l'ouverture éventuelle du droit à la rente. Il reste à examiner s'il est invalide au sens de la LAI.</w:t>
      </w:r>
    </w:p>
    <w:p>
      <w:r>
        <w:rPr>
          <w:b/>
        </w:rPr>
        <w:t>E. 6.1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Un assuré a droit à un quart de rente s'il est invalide à 40% au moins, à une demi-rente s'il est invalide à 50% au moins, à trois-quarts de rente s'il est invalide à 60% au moins et à une rente entière s'il est invalide à 70% au moins (art. 28 al. 2 LAI). Suite à l'entrée en vigueur le 1er juin 2002 de l'accord bilatéral entre la Suisse et la Communauté européenne, la restriction prévue à l'art. 29 al. 4 LAI - selon laquelle les rentes correspondant à un taux d'invalidité inférieur à 50% ne sont versées qu'aux assurés qui ont leur domicile et leur résidence habituelle en Suisse (art. 13 LPGA) - n'est plus applicable lorsqu'un assuré est un ressortissant suisse ou de l'UE et y réside (ATF 130 V 253 consid. 2.3).</w:t>
      </w:r>
    </w:p>
    <w:p>
      <w:r>
        <w:rPr>
          <w:b/>
        </w:rPr>
        <w:t>E. 6.3</w:t>
      </w:r>
    </w:p>
    <w:p>
      <w:r>
        <w:t>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 Une incapacité de travail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w:t>
      </w:r>
    </w:p>
    <w:p>
      <w:r>
        <w:rPr>
          <w:b/>
        </w:rPr>
        <w:t>E. 6.4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7.1</w:t>
      </w:r>
    </w:p>
    <w:p>
      <w:r>
        <w:t>Le recourant a travaillé en Suisse de nombreuses années dans l'hôtellerie puis comme agent de voyage jusqu'en 2000, les six dernières années comme personne de condition indépendante. Retourné au Portugal, il n'a pas repris d'activité lucrative.</w:t>
      </w:r>
    </w:p>
    <w:p>
      <w:r>
        <w:rPr>
          <w:b/>
        </w:rPr>
        <w:t>E. 7.2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en application de la méthode dite générale, avec celui qu'il pourrait obtenir en exerçant l'activité qui peut être raisonnablement exigée de lui après les traitements et les mesures de réadaptation sur un marché de travail équilibré.</w:t>
      </w:r>
    </w:p>
    <w:p>
      <w:r>
        <w:rPr>
          <w:b/>
        </w:rPr>
        <w:t>E. 7.3</w:t>
      </w:r>
    </w:p>
    <w:p>
      <w:r>
        <w:t>Dans les cas où il est particulièrement difficile de déterminer les revenus avant et après l'invalidité, tout particulièrement s'agissant des indépendants, la jurisprudence admet que l'évaluation de la perte de gain soit faite, exceptionnellement, par une méthode dite extraordinaire. Celle-ci consiste à déterminer les répercussions économiques de la baisse de rendement sur la situation concrète où se déploie l'activité (cf. ATF 128 V 29 consid. 1; Valterio, op. cit., n° 2183). Concrètement, en application de cette méthode, on constate d'abord l'empêchement dû à l'atteinte à la santé et, ensuite, on examine les effets de cet empêchement sur la capacité de gain (VSI 1998 p. 121; SVR 1996 IV n. 74 consid. 2b). Toutefois, si l'intéressé a cessé toute activité indépendante, on peut renoncer à l'application de la méthode de calcul extraordinaire et appliquer la méthode générale. Dans ce cas là, en effet, la comparaison des activités exercées avant et après la survenance de l'invalidité n'est plus possible (Valterio, op. cit. n° 2184; arrêt du Tribunal fédéral I 499/02 du 17 juin 2003 consid. 6 et les références).</w:t>
      </w:r>
    </w:p>
    <w:p>
      <w:r>
        <w:rPr>
          <w:b/>
        </w:rPr>
        <w:t>E. 7.4</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w:t>
      </w:r>
    </w:p>
    <w:p>
      <w:r>
        <w:rPr>
          <w:b/>
        </w:rPr>
        <w:t>E. 8.1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8.2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9.1</w:t>
      </w:r>
    </w:p>
    <w:p>
      <w:r>
        <w:t>En l'espèce l'intéressé fut opéré le 26 octobre 2009 d'un adénocarcinome du côlon diagnostiqué en mai 2009 et subit une résection du rectum avec anastomose proximale et distale. Une radio- et une chimiothérapie furent entreprises jusqu'à fin janvier 2010. Dans un rapport du 17 mai 2010 du Dr C._______ il fut expressément relevé qu'aucun signe de récidive de la maladie ne fut constaté lors des derniers examens d'imagerie réalisés le 21 avril 2010. Parallèlement à cette atteinte à la santé, les pathologies ci-après furent diagnostiquées: hypertension artérielle, dyslipidémie, anxiété-dépression, sténose hépatique, dolichocôlon, lithiase rénale, spondylarthrite, valve mitrale avec obstruction calcification de l'anneau postérieur, bradycardie. Un rapport cardiologique du 1er juin 2009 posa le diagnostic de précordialgies mais releva que les coronaires étaient angiographiquement normaux sans lésion apparente et que la fonction ventriculaire était bonne. Force est de constater que l'atteinte oncologique a été traitée favorablement à fin janvier 2010 et que les autres atteintes à la santé ne peuvent être qualifiées d'invalidantes dans l'activité de bureau de référence de l'intéressé vu sa dernière activité exercée en Suisse. Il peut donc être retenu qu'à compter de janvier ou du moins au 1er février 2010 l'intéressé aurait pu reprendre à 100% son activité antérieure. Les rapports médicaux de l'OAIE peuvent ainsi être confirmés. La présente appréciation s'écarte d'un mois par rapport à celle du Dr B.______ mais est sans incidence sur le droit à la rente vu qu'il peut être retenu que l'incapacité de travail n'a pas duré plus d'une année.</w:t>
      </w:r>
    </w:p>
    <w:p>
      <w:r>
        <w:rPr>
          <w:b/>
        </w:rPr>
        <w:t>E. 9.2</w:t>
      </w:r>
    </w:p>
    <w:p>
      <w:r>
        <w:t>Dans ses écritures, le recourant releva que le Dr B._______ de l'OAIE n'était ni oncologue, ni psychiatre ni cardiologue et que de ce fait, non en mesure d'apprécier les pathologies de l'assuré, ses prises de position n'avaient pas de valeur probante.</w:t>
      </w:r>
    </w:p>
    <w:p>
      <w:r>
        <w:rPr>
          <w:b/>
        </w:rPr>
        <w:t>E. 9.2.1</w:t>
      </w:r>
    </w:p>
    <w:p>
      <w:r>
        <w:t>Conformément à la jurisprudence, la valeur probante d'une expertise est liée à la condition que l'expert dispose de la formation nécessaire. Les compétences professionnelles de son auteur, dès lors que l'administration et les tribunaux doivent pouvoir se reposer sur les connaissances spécialisées de l'expert auquel ils font précisément appel en raison de son savoir particulier, sont déterminantes; elles supposent des connaissances spécialisées bien établies (cf. Valterio, op. cit. n° 2912; arrêt du Tribunal fédéral 9C_268/2011 du 26 juillet 2011 consid. 6.2.3). Ces exigences attendues d'un expert ne sont pas celles d'un médecin d'un service médical d'un office de l'assurance-invalidité dont on attend plus généralement une appréciation circonstanciée sur dossier. Le fait qu'un médecin d'un SMR ne soit pas un spécialiste du ou des domaines médicaux des pathologies d'un assuré n'est ainsi pas déterminant si l'on n'attend pas de lui un avis de spécialiste mais la faculté de se prononcer sur la cohérence des rapports médicaux versés au dossier, l'adéquation matérielle des appréciations médicales afférentes et leur pertinence au regard des principes développés par la jurisprudence (cf. dans ce sens: arrêts du Tribunal fédéral 9C_711/2010 du 18 mai 2011 consid. 4.3; 9C_766/2009 du 12 mars 2010 consid. 2.2; 8C_4/2010 du 29 novembre 2010 consid. 4.1 et les références).</w:t>
      </w:r>
    </w:p>
    <w:p>
      <w:r>
        <w:rPr>
          <w:b/>
        </w:rPr>
        <w:t>E. 9.2.2</w:t>
      </w:r>
    </w:p>
    <w:p>
      <w:r>
        <w:t>En l'espèce, le Dr B.______ n'a pas la spécialisation relative aux pathologies dont le recourant est atteint. Aux actes sont toutefois versés les rapports de spécialistes nécessaires à l'examen de la cause. Étant donné le rôle qui incombe au service médical de l'OAIE, le seul fait que le médecin appelé à se prononcer sur une demande de rente n'ait pas les spécialisations en question n'est pas déterminant. Il importe en revanche que son appréciation soit cohérente et probante, ce qui est le cas en l'espèce. L'atteinte oncologique a été traitée jusqu'à fin janvier 2010 et s'est révélée sans signe de récidive, par ailleurs les autres atteintes somatiques à la santé, dont les atteintes précordialgiques et cardiologiques, sont médicalement peu ou pas documentées et sont dans leurs formes usuelles non invalidantes. Il s'ensuit que l'appréciation du Dr B.______, bien que le rapport E 213 fasse état - de façon non étayée et non en adéquation avec les atteintes à la santé relevées - d'un status d'incapacité totale, peut être tenue pour convaincante. Rien de concret au dossier ne permet de la mettre en doute.</w:t>
      </w:r>
    </w:p>
    <w:p>
      <w:r>
        <w:rPr>
          <w:b/>
        </w:rPr>
        <w:t>E. 9.3</w:t>
      </w:r>
    </w:p>
    <w:p>
      <w:r>
        <w:t>Enfin le recourant soulève le grief que l'OAIE aurait dû diligenter une nouvelle expertise médicale au Portugal ou en Suisse. Le refus de procéder à de nouveaux examens n'est pas de nature à mettre en cause le rapport d'un service médical régional ceci tout particulièrement lorsqu'il s'agit pour l'essentiel de l'appréciation d'éléments médicaux dûment établis et dont le fondement repose sur un contact direct avec la personne assurée (Valterio, op. cit. n° 2920; arrêt du Tribunal fédéral 9C_589/ 2010 du 8 septembre 2010 consid. 2 et les réf.). En l'espèce les rapports médicaux au dossier concernant l'atteinte oncologique sont clairs et ont été établis suite à l'examen de l'assuré. D'autres examens n'apporteraient vraisemblablement pas d'éléments nouveaux.</w:t>
      </w:r>
    </w:p>
    <w:p>
      <w:r>
        <w:rPr>
          <w:b/>
        </w:rPr>
        <w:t>E. 9.4</w:t>
      </w:r>
    </w:p>
    <w:p>
      <w:r>
        <w:t>Il s'ensuit de ce qui précède, comme l'a fait le service médical de l'OAIE, que l'assuré peut être reconnu avoir été apte à exercer à 100% l'activité précédemment exercée à compter du 1er janvier ou du moins du 1er février 2010 ou tout autre activité de type bureau, ses atteintes à la santé ne l'entravant pas dans une mesure de 40% sur une année au moins. Le recours doit ainsi être rejeté. Si son état de santé s'est par la suite détérioré comme le recourant paraît en faire état par la production du rapport médical du Dr D._______ du 14 février 2011 qui ne peut être pris en compte dans la présente procédure (cf. consid. 3 supra), il lui appartient de déposer une nouvelle demande de prestations d'invalidité.</w:t>
      </w:r>
    </w:p>
    <w:p>
      <w:r>
        <w:rPr>
          <w:b/>
        </w:rPr>
        <w:t>E. 10</w:t>
      </w:r>
    </w:p>
    <w:p>
      <w:r>
        <w:t>Dans le cadre de cette demande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w:t>
      </w:r>
    </w:p>
    <w:p>
      <w:r>
        <w:rPr>
          <w:b/>
        </w:rPr>
        <w:t>E. 11.1</w:t>
      </w:r>
    </w:p>
    <w:p>
      <w:r>
        <w:t>Le recourant étant au bénéfice de l'assistance judiciaire par décision incidente du 14 janvier 2011, il n'est pas perçu de frais de procédure (art. 65 PA; art. 6 du règlement de 21 février 2008 concernant les frais, dépens et indemnités fixés par le Tribunal administratif fédéral [FITAF, RS 173.320.2]).</w:t>
      </w:r>
    </w:p>
    <w:p>
      <w:r>
        <w:rPr>
          <w:b/>
        </w:rPr>
        <w:t>E. 11.2</w:t>
      </w:r>
    </w:p>
    <w:p>
      <w:r>
        <w:t>Il est alloué au représentant du recourant une indemnité d'avocat commis d'office (art. 12 FITAF) de Fr. 2'500.- non soumis à la TVA à charge de la caisse du Tribunal de céans.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